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C0" w:rsidRPr="00334EC0" w:rsidRDefault="00334EC0" w:rsidP="00A424C2">
      <w:pPr>
        <w:jc w:val="center"/>
        <w:rPr>
          <w:b/>
          <w:sz w:val="28"/>
        </w:rPr>
      </w:pPr>
      <w:r w:rsidRPr="00334EC0">
        <w:rPr>
          <w:b/>
          <w:sz w:val="28"/>
        </w:rPr>
        <w:t>MARCHES PUBLICS DE PRESTATIONS INTELLECTUELLES</w:t>
      </w:r>
    </w:p>
    <w:p w:rsidR="00334EC0" w:rsidRPr="00334EC0" w:rsidRDefault="00334EC0" w:rsidP="00A424C2"/>
    <w:p w:rsidR="00334EC0" w:rsidRPr="00334EC0" w:rsidRDefault="00334EC0" w:rsidP="00A424C2"/>
    <w:p w:rsidR="00334EC0" w:rsidRPr="00334EC0" w:rsidRDefault="00334EC0" w:rsidP="00A424C2">
      <w:pPr>
        <w:pStyle w:val="AdressePageDeGarde"/>
      </w:pPr>
      <w:r w:rsidRPr="00334EC0">
        <w:t>Syndicat Mixte du Parc naturel régional des Pyrénées catalanes</w:t>
      </w:r>
    </w:p>
    <w:p w:rsidR="00334EC0" w:rsidRPr="00334EC0" w:rsidRDefault="00334EC0" w:rsidP="00A424C2">
      <w:pPr>
        <w:pStyle w:val="AdressePageDeGarde"/>
      </w:pPr>
      <w:r w:rsidRPr="00334EC0">
        <w:t>-</w:t>
      </w:r>
    </w:p>
    <w:p w:rsidR="00334EC0" w:rsidRPr="00334EC0" w:rsidRDefault="00334EC0" w:rsidP="00A424C2">
      <w:pPr>
        <w:pStyle w:val="AdressePageDeGarde"/>
      </w:pPr>
      <w:r w:rsidRPr="00334EC0">
        <w:t>Service Marchés Publics</w:t>
      </w:r>
    </w:p>
    <w:p w:rsidR="00334EC0" w:rsidRPr="00334EC0" w:rsidRDefault="00334EC0" w:rsidP="00A424C2">
      <w:pPr>
        <w:pStyle w:val="AdressePageDeGarde"/>
      </w:pPr>
      <w:r w:rsidRPr="00334EC0">
        <w:t>La Bastide</w:t>
      </w:r>
    </w:p>
    <w:p w:rsidR="00334EC0" w:rsidRPr="00334EC0" w:rsidRDefault="00334EC0" w:rsidP="00A424C2">
      <w:pPr>
        <w:pStyle w:val="AdressePageDeGarde"/>
      </w:pPr>
      <w:r w:rsidRPr="00334EC0">
        <w:t>66360 OLETTE</w:t>
      </w:r>
    </w:p>
    <w:p w:rsidR="00334EC0" w:rsidRPr="00334EC0" w:rsidRDefault="00334EC0" w:rsidP="00A424C2">
      <w:pPr>
        <w:pStyle w:val="AdressePageDeGarde"/>
      </w:pPr>
      <w:r w:rsidRPr="00334EC0">
        <w:t>Tél: 04 68 04 97 60</w:t>
      </w:r>
    </w:p>
    <w:p w:rsidR="00334EC0" w:rsidRPr="00334EC0" w:rsidRDefault="004068AB" w:rsidP="00A424C2">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8pt;margin-top:41.1pt;width:468pt;height:60.05pt;z-index:251657728;mso-position-horizontal-relative:page" o:allowincell="f" fillcolor="window">
            <v:imagedata r:id="rId8" o:title=""/>
            <w10:wrap type="topAndBottom" anchorx="page"/>
          </v:shape>
          <o:OLEObject Type="Embed" ProgID="Word.Picture.8" ShapeID="_x0000_s1026" DrawAspect="Content" ObjectID="_1598434886" r:id="rId9"/>
        </w:object>
      </w:r>
    </w:p>
    <w:p w:rsidR="00334EC0" w:rsidRPr="00334EC0" w:rsidRDefault="00334EC0" w:rsidP="00A424C2">
      <w:pPr>
        <w:framePr w:hSpace="142" w:wrap="notBeside" w:vAnchor="text" w:hAnchor="page" w:xAlign="center" w:y="1"/>
        <w:jc w:val="center"/>
      </w:pPr>
    </w:p>
    <w:p w:rsidR="00334EC0" w:rsidRPr="00334EC0" w:rsidRDefault="00334EC0" w:rsidP="00A424C2"/>
    <w:p w:rsidR="00334EC0" w:rsidRPr="00334EC0" w:rsidRDefault="00334EC0" w:rsidP="00A424C2">
      <w:pPr>
        <w:pBdr>
          <w:top w:val="double" w:sz="12" w:space="1" w:color="auto" w:shadow="1"/>
          <w:left w:val="double" w:sz="12" w:space="1" w:color="auto" w:shadow="1"/>
          <w:bottom w:val="double" w:sz="12" w:space="1" w:color="auto" w:shadow="1"/>
          <w:right w:val="double" w:sz="12" w:space="1" w:color="auto" w:shadow="1"/>
        </w:pBdr>
        <w:jc w:val="center"/>
        <w:rPr>
          <w:rFonts w:ascii="Arial" w:hAnsi="Arial"/>
          <w:caps/>
          <w:color w:val="000000"/>
          <w:sz w:val="40"/>
        </w:rPr>
      </w:pPr>
      <w:r w:rsidRPr="00334EC0">
        <w:rPr>
          <w:b/>
          <w:caps/>
          <w:color w:val="000000"/>
          <w:sz w:val="32"/>
        </w:rPr>
        <w:t>MISSION DE SUIVI  ANIMATION D’UNE OPERATION PROGRAMMEE D’AMELIORATION DE L’OFFRE D’HEBERGEMENT TOURISTIQUE DANS LES PYRENEES CATALANES</w:t>
      </w:r>
      <w:r w:rsidR="00551D52">
        <w:rPr>
          <w:b/>
          <w:caps/>
          <w:color w:val="000000"/>
          <w:sz w:val="32"/>
        </w:rPr>
        <w:t xml:space="preserve"> (AMI</w:t>
      </w:r>
      <w:r w:rsidR="00551D52">
        <w:rPr>
          <w:rStyle w:val="Appelnotedebasdep"/>
          <w:b/>
          <w:caps/>
          <w:color w:val="000000"/>
          <w:sz w:val="32"/>
        </w:rPr>
        <w:footnoteReference w:id="1"/>
      </w:r>
      <w:r w:rsidR="00551D52">
        <w:rPr>
          <w:b/>
          <w:caps/>
          <w:color w:val="000000"/>
          <w:sz w:val="32"/>
        </w:rPr>
        <w:t xml:space="preserve"> TOURISME)</w:t>
      </w:r>
    </w:p>
    <w:p w:rsidR="00334EC0" w:rsidRPr="00334EC0" w:rsidRDefault="00334EC0" w:rsidP="00A424C2"/>
    <w:p w:rsidR="00334EC0" w:rsidRPr="00334EC0" w:rsidRDefault="00334EC0" w:rsidP="00A424C2"/>
    <w:p w:rsidR="00334EC0" w:rsidRPr="00334EC0" w:rsidRDefault="00334EC0" w:rsidP="00334EC0">
      <w:pPr>
        <w:tabs>
          <w:tab w:val="right" w:pos="4395"/>
          <w:tab w:val="center" w:pos="4536"/>
          <w:tab w:val="left" w:pos="4678"/>
        </w:tabs>
        <w:jc w:val="center"/>
        <w:rPr>
          <w:sz w:val="28"/>
        </w:rPr>
      </w:pPr>
      <w:r w:rsidRPr="00334EC0">
        <w:rPr>
          <w:sz w:val="28"/>
        </w:rPr>
        <w:t>Date et heure limites de réception des offres</w:t>
      </w:r>
    </w:p>
    <w:p w:rsidR="00334EC0" w:rsidRPr="00334EC0" w:rsidRDefault="00334EC0" w:rsidP="00A424C2">
      <w:pPr>
        <w:tabs>
          <w:tab w:val="right" w:pos="4395"/>
          <w:tab w:val="center" w:pos="4536"/>
          <w:tab w:val="left" w:pos="4678"/>
        </w:tabs>
        <w:rPr>
          <w:sz w:val="28"/>
        </w:rPr>
      </w:pPr>
    </w:p>
    <w:p w:rsidR="00334EC0" w:rsidRPr="00334EC0" w:rsidRDefault="00334EC0" w:rsidP="00334EC0">
      <w:pPr>
        <w:tabs>
          <w:tab w:val="right" w:pos="4395"/>
          <w:tab w:val="center" w:pos="4536"/>
          <w:tab w:val="left" w:pos="4678"/>
        </w:tabs>
      </w:pPr>
      <w:r w:rsidRPr="00334EC0">
        <w:rPr>
          <w:sz w:val="28"/>
        </w:rPr>
        <w:tab/>
      </w:r>
      <w:r w:rsidR="00B1443C">
        <w:rPr>
          <w:b/>
          <w:sz w:val="28"/>
        </w:rPr>
        <w:t>04 octobre</w:t>
      </w:r>
      <w:r w:rsidRPr="00334EC0">
        <w:rPr>
          <w:b/>
          <w:sz w:val="28"/>
        </w:rPr>
        <w:t> 2018 </w:t>
      </w:r>
      <w:r w:rsidRPr="00334EC0">
        <w:rPr>
          <w:b/>
          <w:sz w:val="28"/>
        </w:rPr>
        <w:tab/>
        <w:t>à</w:t>
      </w:r>
      <w:r w:rsidRPr="00334EC0">
        <w:rPr>
          <w:b/>
          <w:sz w:val="28"/>
        </w:rPr>
        <w:tab/>
        <w:t>1</w:t>
      </w:r>
      <w:r w:rsidR="009B1833">
        <w:rPr>
          <w:b/>
          <w:sz w:val="28"/>
        </w:rPr>
        <w:t>2</w:t>
      </w:r>
      <w:r w:rsidRPr="00334EC0">
        <w:rPr>
          <w:b/>
          <w:sz w:val="28"/>
        </w:rPr>
        <w:t xml:space="preserve"> Heures </w:t>
      </w:r>
      <w:r w:rsidR="007C296B">
        <w:rPr>
          <w:b/>
          <w:sz w:val="28"/>
        </w:rPr>
        <w:t>0</w:t>
      </w:r>
      <w:r w:rsidRPr="00334EC0">
        <w:rPr>
          <w:b/>
          <w:sz w:val="28"/>
        </w:rPr>
        <w:t>0 </w:t>
      </w: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jc w:val="center"/>
      </w:pPr>
      <w:r w:rsidRPr="00334EC0">
        <w:rPr>
          <w:b/>
          <w:sz w:val="40"/>
          <w:u w:val="single"/>
        </w:rPr>
        <w:t>Règlement de la Consultation</w:t>
      </w:r>
    </w:p>
    <w:p w:rsidR="00334EC0" w:rsidRPr="00334EC0" w:rsidRDefault="00334EC0">
      <w:pPr>
        <w:tabs>
          <w:tab w:val="right" w:pos="4395"/>
          <w:tab w:val="center" w:pos="4536"/>
          <w:tab w:val="left" w:pos="4678"/>
        </w:tabs>
        <w:jc w:val="center"/>
        <w:rPr>
          <w:b/>
          <w:sz w:val="28"/>
        </w:rPr>
      </w:pPr>
      <w:r w:rsidRPr="00334EC0">
        <w:rPr>
          <w:b/>
          <w:sz w:val="28"/>
        </w:rPr>
        <w:br w:type="page"/>
      </w:r>
      <w:r w:rsidRPr="00334EC0">
        <w:rPr>
          <w:b/>
          <w:sz w:val="28"/>
        </w:rPr>
        <w:lastRenderedPageBreak/>
        <w:t>REGLEMENT DE LA CONSULTATION</w:t>
      </w:r>
    </w:p>
    <w:p w:rsidR="00334EC0" w:rsidRPr="00334EC0" w:rsidRDefault="00334EC0">
      <w:pPr>
        <w:pStyle w:val="TM1"/>
        <w:tabs>
          <w:tab w:val="left" w:pos="993"/>
        </w:tabs>
        <w:jc w:val="center"/>
        <w:rPr>
          <w:sz w:val="32"/>
        </w:rPr>
      </w:pPr>
    </w:p>
    <w:p w:rsidR="00334EC0" w:rsidRPr="00334EC0" w:rsidRDefault="00334EC0">
      <w:pPr>
        <w:pStyle w:val="TM1"/>
        <w:tabs>
          <w:tab w:val="left" w:pos="993"/>
        </w:tabs>
        <w:jc w:val="center"/>
        <w:rPr>
          <w:i/>
          <w:sz w:val="32"/>
        </w:rPr>
      </w:pPr>
      <w:r w:rsidRPr="00334EC0">
        <w:rPr>
          <w:sz w:val="32"/>
        </w:rPr>
        <w:t>SOMMAIRE</w:t>
      </w:r>
    </w:p>
    <w:p w:rsidR="00334EC0" w:rsidRPr="00334EC0" w:rsidRDefault="00334EC0"/>
    <w:p w:rsidR="00334EC0" w:rsidRPr="00334EC0" w:rsidRDefault="00334EC0" w:rsidP="00334EC0">
      <w:pPr>
        <w:pStyle w:val="TM1"/>
        <w:rPr>
          <w:rFonts w:ascii="Calibri" w:hAnsi="Calibri"/>
          <w:b w:val="0"/>
          <w:caps w:val="0"/>
          <w:szCs w:val="22"/>
          <w:u w:val="none"/>
        </w:rPr>
      </w:pPr>
      <w:r w:rsidRPr="00334EC0">
        <w:fldChar w:fldCharType="begin"/>
      </w:r>
      <w:r w:rsidRPr="00334EC0">
        <w:instrText xml:space="preserve"> TOC \o "1-2" \h \z </w:instrText>
      </w:r>
      <w:r w:rsidRPr="00334EC0">
        <w:fldChar w:fldCharType="separate"/>
      </w:r>
      <w:hyperlink w:anchor="_Toc520903811" w:history="1">
        <w:r w:rsidRPr="00334EC0">
          <w:rPr>
            <w:rStyle w:val="Lienhypertexte"/>
          </w:rPr>
          <w:t>Article premier : Objet et étendue de la consultation</w:t>
        </w:r>
        <w:r w:rsidRPr="00334EC0">
          <w:rPr>
            <w:webHidden/>
          </w:rPr>
          <w:tab/>
        </w:r>
        <w:r w:rsidRPr="00334EC0">
          <w:rPr>
            <w:webHidden/>
          </w:rPr>
          <w:fldChar w:fldCharType="begin"/>
        </w:r>
        <w:r w:rsidRPr="00334EC0">
          <w:rPr>
            <w:webHidden/>
          </w:rPr>
          <w:instrText xml:space="preserve"> PAGEREF _Toc520903811 \h </w:instrText>
        </w:r>
        <w:r w:rsidRPr="00334EC0">
          <w:rPr>
            <w:webHidden/>
          </w:rPr>
        </w:r>
        <w:r w:rsidRPr="00334EC0">
          <w:rPr>
            <w:webHidden/>
          </w:rPr>
          <w:fldChar w:fldCharType="separate"/>
        </w:r>
        <w:r w:rsidR="000007FA">
          <w:rPr>
            <w:noProof/>
            <w:webHidden/>
          </w:rPr>
          <w:t>3</w:t>
        </w:r>
        <w:r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2" w:history="1">
        <w:r w:rsidR="00334EC0" w:rsidRPr="00334EC0">
          <w:rPr>
            <w:rStyle w:val="Lienhypertexte"/>
          </w:rPr>
          <w:t>1.1 - Objet de la consultation</w:t>
        </w:r>
        <w:r w:rsidR="00334EC0" w:rsidRPr="00334EC0">
          <w:rPr>
            <w:webHidden/>
          </w:rPr>
          <w:tab/>
        </w:r>
        <w:r w:rsidR="00334EC0" w:rsidRPr="00334EC0">
          <w:rPr>
            <w:webHidden/>
          </w:rPr>
          <w:fldChar w:fldCharType="begin"/>
        </w:r>
        <w:r w:rsidR="00334EC0" w:rsidRPr="00334EC0">
          <w:rPr>
            <w:webHidden/>
          </w:rPr>
          <w:instrText xml:space="preserve"> PAGEREF _Toc520903812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3" w:history="1">
        <w:r w:rsidR="00334EC0" w:rsidRPr="00334EC0">
          <w:rPr>
            <w:rStyle w:val="Lienhypertexte"/>
          </w:rPr>
          <w:t>1.2 - Etendue de la consultation</w:t>
        </w:r>
        <w:r w:rsidR="00334EC0" w:rsidRPr="00334EC0">
          <w:rPr>
            <w:webHidden/>
          </w:rPr>
          <w:tab/>
        </w:r>
        <w:r w:rsidR="00334EC0" w:rsidRPr="00334EC0">
          <w:rPr>
            <w:webHidden/>
          </w:rPr>
          <w:fldChar w:fldCharType="begin"/>
        </w:r>
        <w:r w:rsidR="00334EC0" w:rsidRPr="00334EC0">
          <w:rPr>
            <w:webHidden/>
          </w:rPr>
          <w:instrText xml:space="preserve"> PAGEREF _Toc520903813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4" w:history="1">
        <w:r w:rsidR="00334EC0" w:rsidRPr="00334EC0">
          <w:rPr>
            <w:rStyle w:val="Lienhypertexte"/>
          </w:rPr>
          <w:t>1.3 - Décomposition de la consultation</w:t>
        </w:r>
        <w:r w:rsidR="00334EC0" w:rsidRPr="00334EC0">
          <w:rPr>
            <w:webHidden/>
          </w:rPr>
          <w:tab/>
        </w:r>
        <w:r w:rsidR="00334EC0" w:rsidRPr="00334EC0">
          <w:rPr>
            <w:webHidden/>
          </w:rPr>
          <w:fldChar w:fldCharType="begin"/>
        </w:r>
        <w:r w:rsidR="00334EC0" w:rsidRPr="00334EC0">
          <w:rPr>
            <w:webHidden/>
          </w:rPr>
          <w:instrText xml:space="preserve"> PAGEREF _Toc520903814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5" w:history="1">
        <w:r w:rsidR="00334EC0" w:rsidRPr="00334EC0">
          <w:rPr>
            <w:rStyle w:val="Lienhypertexte"/>
          </w:rPr>
          <w:t>1.4 - Conditions de participation des concurrents</w:t>
        </w:r>
        <w:r w:rsidR="00334EC0" w:rsidRPr="00334EC0">
          <w:rPr>
            <w:webHidden/>
          </w:rPr>
          <w:tab/>
        </w:r>
        <w:r w:rsidR="00334EC0" w:rsidRPr="00334EC0">
          <w:rPr>
            <w:webHidden/>
          </w:rPr>
          <w:fldChar w:fldCharType="begin"/>
        </w:r>
        <w:r w:rsidR="00334EC0" w:rsidRPr="00334EC0">
          <w:rPr>
            <w:webHidden/>
          </w:rPr>
          <w:instrText xml:space="preserve"> PAGEREF _Toc520903815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6" w:history="1">
        <w:r w:rsidR="00334EC0" w:rsidRPr="00334EC0">
          <w:rPr>
            <w:rStyle w:val="Lienhypertexte"/>
          </w:rPr>
          <w:t>1.5 - Nomenclature communautaire</w:t>
        </w:r>
        <w:r w:rsidR="00334EC0" w:rsidRPr="00334EC0">
          <w:rPr>
            <w:webHidden/>
          </w:rPr>
          <w:tab/>
        </w:r>
        <w:r w:rsidR="00334EC0" w:rsidRPr="00334EC0">
          <w:rPr>
            <w:webHidden/>
          </w:rPr>
          <w:fldChar w:fldCharType="begin"/>
        </w:r>
        <w:r w:rsidR="00334EC0" w:rsidRPr="00334EC0">
          <w:rPr>
            <w:webHidden/>
          </w:rPr>
          <w:instrText xml:space="preserve"> PAGEREF _Toc520903816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17" w:history="1">
        <w:r w:rsidR="00334EC0" w:rsidRPr="00334EC0">
          <w:rPr>
            <w:rStyle w:val="Lienhypertexte"/>
          </w:rPr>
          <w:t>Article 2 : Conditions de la consultation</w:t>
        </w:r>
        <w:r w:rsidR="00334EC0" w:rsidRPr="00334EC0">
          <w:rPr>
            <w:webHidden/>
          </w:rPr>
          <w:tab/>
        </w:r>
        <w:r w:rsidR="00334EC0" w:rsidRPr="00334EC0">
          <w:rPr>
            <w:webHidden/>
          </w:rPr>
          <w:fldChar w:fldCharType="begin"/>
        </w:r>
        <w:r w:rsidR="00334EC0" w:rsidRPr="00334EC0">
          <w:rPr>
            <w:webHidden/>
          </w:rPr>
          <w:instrText xml:space="preserve"> PAGEREF _Toc520903817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8" w:history="1">
        <w:r w:rsidR="00334EC0" w:rsidRPr="00334EC0">
          <w:rPr>
            <w:rStyle w:val="Lienhypertexte"/>
          </w:rPr>
          <w:t>2.1 - Durée - Délais d’exécution</w:t>
        </w:r>
        <w:r w:rsidR="00334EC0" w:rsidRPr="00334EC0">
          <w:rPr>
            <w:webHidden/>
          </w:rPr>
          <w:tab/>
        </w:r>
        <w:r w:rsidR="00334EC0" w:rsidRPr="00334EC0">
          <w:rPr>
            <w:webHidden/>
          </w:rPr>
          <w:fldChar w:fldCharType="begin"/>
        </w:r>
        <w:r w:rsidR="00334EC0" w:rsidRPr="00334EC0">
          <w:rPr>
            <w:webHidden/>
          </w:rPr>
          <w:instrText xml:space="preserve"> PAGEREF _Toc520903818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19" w:history="1">
        <w:r w:rsidR="00334EC0" w:rsidRPr="00334EC0">
          <w:rPr>
            <w:rStyle w:val="Lienhypertexte"/>
          </w:rPr>
          <w:t>2.2 - Variantes</w:t>
        </w:r>
        <w:r w:rsidR="00334EC0" w:rsidRPr="00334EC0">
          <w:rPr>
            <w:webHidden/>
          </w:rPr>
          <w:tab/>
        </w:r>
        <w:r w:rsidR="00334EC0" w:rsidRPr="00334EC0">
          <w:rPr>
            <w:webHidden/>
          </w:rPr>
          <w:fldChar w:fldCharType="begin"/>
        </w:r>
        <w:r w:rsidR="00334EC0" w:rsidRPr="00334EC0">
          <w:rPr>
            <w:webHidden/>
          </w:rPr>
          <w:instrText xml:space="preserve"> PAGEREF _Toc520903819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0" w:history="1">
        <w:r w:rsidR="00334EC0" w:rsidRPr="00334EC0">
          <w:rPr>
            <w:rStyle w:val="Lienhypertexte"/>
          </w:rPr>
          <w:t>2.3 - Délai de validité des offres</w:t>
        </w:r>
        <w:r w:rsidR="00334EC0" w:rsidRPr="00334EC0">
          <w:rPr>
            <w:webHidden/>
          </w:rPr>
          <w:tab/>
        </w:r>
        <w:r w:rsidR="00334EC0" w:rsidRPr="00334EC0">
          <w:rPr>
            <w:webHidden/>
          </w:rPr>
          <w:fldChar w:fldCharType="begin"/>
        </w:r>
        <w:r w:rsidR="00334EC0" w:rsidRPr="00334EC0">
          <w:rPr>
            <w:webHidden/>
          </w:rPr>
          <w:instrText xml:space="preserve"> PAGEREF _Toc520903820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1" w:history="1">
        <w:r w:rsidR="00334EC0" w:rsidRPr="00334EC0">
          <w:rPr>
            <w:rStyle w:val="Lienhypertexte"/>
          </w:rPr>
          <w:t>2.4 - Mode de règlement et modalités de financement</w:t>
        </w:r>
        <w:r w:rsidR="00334EC0" w:rsidRPr="00334EC0">
          <w:rPr>
            <w:webHidden/>
          </w:rPr>
          <w:tab/>
        </w:r>
        <w:r w:rsidR="00334EC0" w:rsidRPr="00334EC0">
          <w:rPr>
            <w:webHidden/>
          </w:rPr>
          <w:fldChar w:fldCharType="begin"/>
        </w:r>
        <w:r w:rsidR="00334EC0" w:rsidRPr="00334EC0">
          <w:rPr>
            <w:webHidden/>
          </w:rPr>
          <w:instrText xml:space="preserve"> PAGEREF _Toc520903821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2" w:history="1">
        <w:r w:rsidR="00334EC0" w:rsidRPr="00334EC0">
          <w:rPr>
            <w:rStyle w:val="Lienhypertexte"/>
          </w:rPr>
          <w:t>2.5 – Conditions particulières d’exécution</w:t>
        </w:r>
        <w:r w:rsidR="00334EC0" w:rsidRPr="00334EC0">
          <w:rPr>
            <w:webHidden/>
          </w:rPr>
          <w:tab/>
        </w:r>
        <w:r w:rsidR="00334EC0" w:rsidRPr="00334EC0">
          <w:rPr>
            <w:webHidden/>
          </w:rPr>
          <w:fldChar w:fldCharType="begin"/>
        </w:r>
        <w:r w:rsidR="00334EC0" w:rsidRPr="00334EC0">
          <w:rPr>
            <w:webHidden/>
          </w:rPr>
          <w:instrText xml:space="preserve"> PAGEREF _Toc520903822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23" w:history="1">
        <w:r w:rsidR="00334EC0" w:rsidRPr="00334EC0">
          <w:rPr>
            <w:rStyle w:val="Lienhypertexte"/>
          </w:rPr>
          <w:t>Article 3 : Contenu du dossier de consultation</w:t>
        </w:r>
        <w:r w:rsidR="00334EC0" w:rsidRPr="00334EC0">
          <w:rPr>
            <w:webHidden/>
          </w:rPr>
          <w:tab/>
        </w:r>
        <w:r w:rsidR="00334EC0" w:rsidRPr="00334EC0">
          <w:rPr>
            <w:webHidden/>
          </w:rPr>
          <w:fldChar w:fldCharType="begin"/>
        </w:r>
        <w:r w:rsidR="00334EC0" w:rsidRPr="00334EC0">
          <w:rPr>
            <w:webHidden/>
          </w:rPr>
          <w:instrText xml:space="preserve"> PAGEREF _Toc520903823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24" w:history="1">
        <w:r w:rsidR="00334EC0" w:rsidRPr="00334EC0">
          <w:rPr>
            <w:rStyle w:val="Lienhypertexte"/>
          </w:rPr>
          <w:t>Article 4 : Présentation des candidatures et des offres</w:t>
        </w:r>
        <w:r w:rsidR="00334EC0" w:rsidRPr="00334EC0">
          <w:rPr>
            <w:webHidden/>
          </w:rPr>
          <w:tab/>
        </w:r>
        <w:r w:rsidR="00334EC0" w:rsidRPr="00334EC0">
          <w:rPr>
            <w:webHidden/>
          </w:rPr>
          <w:fldChar w:fldCharType="begin"/>
        </w:r>
        <w:r w:rsidR="00334EC0" w:rsidRPr="00334EC0">
          <w:rPr>
            <w:webHidden/>
          </w:rPr>
          <w:instrText xml:space="preserve"> PAGEREF _Toc520903824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5" w:history="1">
        <w:r w:rsidR="00334EC0" w:rsidRPr="00334EC0">
          <w:rPr>
            <w:rStyle w:val="Lienhypertexte"/>
          </w:rPr>
          <w:t>4.1 - Documents à produire</w:t>
        </w:r>
        <w:r w:rsidR="00334EC0" w:rsidRPr="00334EC0">
          <w:rPr>
            <w:webHidden/>
          </w:rPr>
          <w:tab/>
        </w:r>
        <w:r w:rsidR="00334EC0" w:rsidRPr="00334EC0">
          <w:rPr>
            <w:webHidden/>
          </w:rPr>
          <w:fldChar w:fldCharType="begin"/>
        </w:r>
        <w:r w:rsidR="00334EC0" w:rsidRPr="00334EC0">
          <w:rPr>
            <w:webHidden/>
          </w:rPr>
          <w:instrText xml:space="preserve"> PAGEREF _Toc520903825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6" w:history="1">
        <w:r w:rsidR="00334EC0" w:rsidRPr="00334EC0">
          <w:rPr>
            <w:rStyle w:val="Lienhypertexte"/>
          </w:rPr>
          <w:t>4.2 - Variantes</w:t>
        </w:r>
        <w:r w:rsidR="00334EC0" w:rsidRPr="00334EC0">
          <w:rPr>
            <w:webHidden/>
          </w:rPr>
          <w:tab/>
        </w:r>
        <w:r w:rsidR="00334EC0" w:rsidRPr="00334EC0">
          <w:rPr>
            <w:webHidden/>
          </w:rPr>
          <w:fldChar w:fldCharType="begin"/>
        </w:r>
        <w:r w:rsidR="00334EC0" w:rsidRPr="00334EC0">
          <w:rPr>
            <w:webHidden/>
          </w:rPr>
          <w:instrText xml:space="preserve"> PAGEREF _Toc520903826 \h </w:instrText>
        </w:r>
        <w:r w:rsidR="00334EC0" w:rsidRPr="00334EC0">
          <w:rPr>
            <w:webHidden/>
          </w:rPr>
        </w:r>
        <w:r w:rsidR="00334EC0" w:rsidRPr="00334EC0">
          <w:rPr>
            <w:webHidden/>
          </w:rPr>
          <w:fldChar w:fldCharType="separate"/>
        </w:r>
        <w:r w:rsidR="000007FA">
          <w:rPr>
            <w:noProof/>
            <w:webHidden/>
          </w:rPr>
          <w:t>5</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27" w:history="1">
        <w:r w:rsidR="00334EC0" w:rsidRPr="00334EC0">
          <w:rPr>
            <w:rStyle w:val="Lienhypertexte"/>
          </w:rPr>
          <w:t>Article 5 : Sélection des candidatures et jugement des offres</w:t>
        </w:r>
        <w:r w:rsidR="00334EC0" w:rsidRPr="00334EC0">
          <w:rPr>
            <w:webHidden/>
          </w:rPr>
          <w:tab/>
        </w:r>
        <w:r w:rsidR="00334EC0" w:rsidRPr="00334EC0">
          <w:rPr>
            <w:webHidden/>
          </w:rPr>
          <w:fldChar w:fldCharType="begin"/>
        </w:r>
        <w:r w:rsidR="00334EC0" w:rsidRPr="00334EC0">
          <w:rPr>
            <w:webHidden/>
          </w:rPr>
          <w:instrText xml:space="preserve"> PAGEREF _Toc520903827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28" w:history="1">
        <w:r w:rsidR="00334EC0" w:rsidRPr="00334EC0">
          <w:rPr>
            <w:rStyle w:val="Lienhypertexte"/>
          </w:rPr>
          <w:t>Article 6 : Conditions d’envoi ou de remise des plis</w:t>
        </w:r>
        <w:r w:rsidR="00334EC0" w:rsidRPr="00334EC0">
          <w:rPr>
            <w:webHidden/>
          </w:rPr>
          <w:tab/>
        </w:r>
        <w:r w:rsidR="00334EC0" w:rsidRPr="00334EC0">
          <w:rPr>
            <w:webHidden/>
          </w:rPr>
          <w:fldChar w:fldCharType="begin"/>
        </w:r>
        <w:r w:rsidR="00334EC0" w:rsidRPr="00334EC0">
          <w:rPr>
            <w:webHidden/>
          </w:rPr>
          <w:instrText xml:space="preserve"> PAGEREF _Toc520903828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29" w:history="1">
        <w:r w:rsidR="00334EC0" w:rsidRPr="00334EC0">
          <w:rPr>
            <w:rStyle w:val="Lienhypertexte"/>
          </w:rPr>
          <w:t>6.1 – Transmission sous support papier</w:t>
        </w:r>
        <w:r w:rsidR="00334EC0" w:rsidRPr="00334EC0">
          <w:rPr>
            <w:webHidden/>
          </w:rPr>
          <w:tab/>
        </w:r>
        <w:r w:rsidR="00334EC0" w:rsidRPr="00334EC0">
          <w:rPr>
            <w:webHidden/>
          </w:rPr>
          <w:fldChar w:fldCharType="begin"/>
        </w:r>
        <w:r w:rsidR="00334EC0" w:rsidRPr="00334EC0">
          <w:rPr>
            <w:webHidden/>
          </w:rPr>
          <w:instrText xml:space="preserve"> PAGEREF _Toc520903829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30" w:history="1">
        <w:r w:rsidR="00334EC0" w:rsidRPr="00334EC0">
          <w:rPr>
            <w:rStyle w:val="Lienhypertexte"/>
          </w:rPr>
          <w:t>6.2 – Transmission électronique</w:t>
        </w:r>
        <w:r w:rsidR="00334EC0" w:rsidRPr="00334EC0">
          <w:rPr>
            <w:webHidden/>
          </w:rPr>
          <w:tab/>
        </w:r>
        <w:r w:rsidR="00334EC0" w:rsidRPr="00334EC0">
          <w:rPr>
            <w:webHidden/>
          </w:rPr>
          <w:fldChar w:fldCharType="begin"/>
        </w:r>
        <w:r w:rsidR="00334EC0" w:rsidRPr="00334EC0">
          <w:rPr>
            <w:webHidden/>
          </w:rPr>
          <w:instrText xml:space="preserve"> PAGEREF _Toc520903830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4068AB" w:rsidP="00334EC0">
      <w:pPr>
        <w:pStyle w:val="TM1"/>
        <w:rPr>
          <w:rFonts w:ascii="Calibri" w:hAnsi="Calibri"/>
          <w:b w:val="0"/>
          <w:caps w:val="0"/>
          <w:szCs w:val="22"/>
          <w:u w:val="none"/>
        </w:rPr>
      </w:pPr>
      <w:hyperlink w:anchor="_Toc520903831" w:history="1">
        <w:r w:rsidR="00334EC0" w:rsidRPr="00334EC0">
          <w:rPr>
            <w:rStyle w:val="Lienhypertexte"/>
          </w:rPr>
          <w:t>Article 7 : Renseignements complémentaires</w:t>
        </w:r>
        <w:r w:rsidR="00334EC0" w:rsidRPr="00334EC0">
          <w:rPr>
            <w:webHidden/>
          </w:rPr>
          <w:tab/>
        </w:r>
        <w:r w:rsidR="00334EC0" w:rsidRPr="00334EC0">
          <w:rPr>
            <w:webHidden/>
          </w:rPr>
          <w:fldChar w:fldCharType="begin"/>
        </w:r>
        <w:r w:rsidR="00334EC0" w:rsidRPr="00334EC0">
          <w:rPr>
            <w:webHidden/>
          </w:rPr>
          <w:instrText xml:space="preserve"> PAGEREF _Toc520903831 \h </w:instrText>
        </w:r>
        <w:r w:rsidR="00334EC0" w:rsidRPr="00334EC0">
          <w:rPr>
            <w:webHidden/>
          </w:rPr>
        </w:r>
        <w:r w:rsidR="00334EC0" w:rsidRPr="00334EC0">
          <w:rPr>
            <w:webHidden/>
          </w:rPr>
          <w:fldChar w:fldCharType="separate"/>
        </w:r>
        <w:r w:rsidR="000007FA">
          <w:rPr>
            <w:noProof/>
            <w:webHidden/>
          </w:rPr>
          <w:t>7</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32" w:history="1">
        <w:r w:rsidR="00334EC0" w:rsidRPr="00334EC0">
          <w:rPr>
            <w:rStyle w:val="Lienhypertexte"/>
          </w:rPr>
          <w:t>7.1 - Demande de renseignements</w:t>
        </w:r>
        <w:r w:rsidR="00334EC0" w:rsidRPr="00334EC0">
          <w:rPr>
            <w:webHidden/>
          </w:rPr>
          <w:tab/>
        </w:r>
        <w:r w:rsidR="00334EC0" w:rsidRPr="00334EC0">
          <w:rPr>
            <w:webHidden/>
          </w:rPr>
          <w:fldChar w:fldCharType="begin"/>
        </w:r>
        <w:r w:rsidR="00334EC0" w:rsidRPr="00334EC0">
          <w:rPr>
            <w:webHidden/>
          </w:rPr>
          <w:instrText xml:space="preserve"> PAGEREF _Toc520903832 \h </w:instrText>
        </w:r>
        <w:r w:rsidR="00334EC0" w:rsidRPr="00334EC0">
          <w:rPr>
            <w:webHidden/>
          </w:rPr>
        </w:r>
        <w:r w:rsidR="00334EC0" w:rsidRPr="00334EC0">
          <w:rPr>
            <w:webHidden/>
          </w:rPr>
          <w:fldChar w:fldCharType="separate"/>
        </w:r>
        <w:r w:rsidR="000007FA">
          <w:rPr>
            <w:noProof/>
            <w:webHidden/>
          </w:rPr>
          <w:t>7</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33" w:history="1">
        <w:r w:rsidR="00334EC0" w:rsidRPr="00334EC0">
          <w:rPr>
            <w:rStyle w:val="Lienhypertexte"/>
          </w:rPr>
          <w:t>7.2 - Documents complémentaires</w:t>
        </w:r>
        <w:r w:rsidR="00334EC0" w:rsidRPr="00334EC0">
          <w:rPr>
            <w:webHidden/>
          </w:rPr>
          <w:tab/>
        </w:r>
        <w:r w:rsidR="00334EC0" w:rsidRPr="00334EC0">
          <w:rPr>
            <w:webHidden/>
          </w:rPr>
          <w:fldChar w:fldCharType="begin"/>
        </w:r>
        <w:r w:rsidR="00334EC0" w:rsidRPr="00334EC0">
          <w:rPr>
            <w:webHidden/>
          </w:rPr>
          <w:instrText xml:space="preserve"> PAGEREF _Toc520903833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34" w:history="1">
        <w:r w:rsidR="00334EC0" w:rsidRPr="00334EC0">
          <w:rPr>
            <w:rStyle w:val="Lienhypertexte"/>
          </w:rPr>
          <w:t>7.3 - Visites sur sites et/ou consultations sur place</w:t>
        </w:r>
        <w:r w:rsidR="00334EC0" w:rsidRPr="00334EC0">
          <w:rPr>
            <w:webHidden/>
          </w:rPr>
          <w:tab/>
        </w:r>
        <w:r w:rsidR="00334EC0" w:rsidRPr="00334EC0">
          <w:rPr>
            <w:webHidden/>
          </w:rPr>
          <w:fldChar w:fldCharType="begin"/>
        </w:r>
        <w:r w:rsidR="00334EC0" w:rsidRPr="00334EC0">
          <w:rPr>
            <w:webHidden/>
          </w:rPr>
          <w:instrText xml:space="preserve"> PAGEREF _Toc520903834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4068AB" w:rsidP="00334EC0">
      <w:pPr>
        <w:pStyle w:val="TM2"/>
        <w:tabs>
          <w:tab w:val="clear" w:pos="9072"/>
          <w:tab w:val="right" w:pos="9071"/>
        </w:tabs>
        <w:rPr>
          <w:rFonts w:ascii="Calibri" w:hAnsi="Calibri"/>
          <w:b w:val="0"/>
          <w:smallCaps w:val="0"/>
          <w:szCs w:val="22"/>
        </w:rPr>
      </w:pPr>
      <w:hyperlink w:anchor="_Toc520903835" w:history="1">
        <w:r w:rsidR="00334EC0" w:rsidRPr="00334EC0">
          <w:rPr>
            <w:rStyle w:val="Lienhypertexte"/>
          </w:rPr>
          <w:t>7.4 - Voies et délais de recours</w:t>
        </w:r>
        <w:r w:rsidR="00334EC0" w:rsidRPr="00334EC0">
          <w:rPr>
            <w:webHidden/>
          </w:rPr>
          <w:tab/>
        </w:r>
        <w:r w:rsidR="00334EC0" w:rsidRPr="00334EC0">
          <w:rPr>
            <w:webHidden/>
          </w:rPr>
          <w:fldChar w:fldCharType="begin"/>
        </w:r>
        <w:r w:rsidR="00334EC0" w:rsidRPr="00334EC0">
          <w:rPr>
            <w:webHidden/>
          </w:rPr>
          <w:instrText xml:space="preserve"> PAGEREF _Toc520903835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334EC0">
      <w:pPr>
        <w:jc w:val="center"/>
        <w:rPr>
          <w:b/>
          <w:sz w:val="28"/>
        </w:rPr>
      </w:pPr>
      <w:r w:rsidRPr="00334EC0">
        <w:fldChar w:fldCharType="end"/>
      </w:r>
      <w:r w:rsidRPr="00334EC0">
        <w:br w:type="page"/>
      </w:r>
      <w:r w:rsidRPr="00334EC0">
        <w:rPr>
          <w:b/>
          <w:sz w:val="28"/>
        </w:rPr>
        <w:lastRenderedPageBreak/>
        <w:t>REGLEMENT DE LA CONSULTATION</w:t>
      </w:r>
    </w:p>
    <w:p w:rsidR="00334EC0" w:rsidRPr="00334EC0" w:rsidRDefault="00334EC0">
      <w:pPr>
        <w:ind w:left="284"/>
      </w:pPr>
    </w:p>
    <w:p w:rsidR="00334EC0" w:rsidRPr="00334EC0" w:rsidRDefault="00334EC0">
      <w:pPr>
        <w:pStyle w:val="Titre1"/>
        <w:keepNext w:val="0"/>
      </w:pPr>
      <w:bookmarkStart w:id="0" w:name="_Toc520903811"/>
      <w:r w:rsidRPr="00334EC0">
        <w:t>Article premier : Objet et étendue de la consultation</w:t>
      </w:r>
      <w:bookmarkEnd w:id="0"/>
    </w:p>
    <w:p w:rsidR="00334EC0" w:rsidRPr="00334EC0" w:rsidRDefault="00334EC0">
      <w:pPr>
        <w:pStyle w:val="Titre2"/>
      </w:pPr>
      <w:bookmarkStart w:id="1" w:name="_Toc520903812"/>
      <w:r w:rsidRPr="00334EC0">
        <w:t>1.1 - Objet de la consultation</w:t>
      </w:r>
      <w:bookmarkEnd w:id="1"/>
    </w:p>
    <w:p w:rsidR="00334EC0" w:rsidRPr="00334EC0" w:rsidRDefault="00334EC0" w:rsidP="00334EC0">
      <w:pPr>
        <w:pStyle w:val="Normal2"/>
        <w:ind w:firstLine="0"/>
      </w:pPr>
      <w:r w:rsidRPr="00334EC0">
        <w:t xml:space="preserve">La présente consultation concerne : </w:t>
      </w:r>
      <w:r w:rsidRPr="00334EC0">
        <w:rPr>
          <w:b/>
        </w:rPr>
        <w:t>MISSION DE SUIVI  ANIMATION D’UNE OPERATION PROGRAMMEE D’AMELIORATION DE L’OFFRE D’HEBERGEMENT TOURISTIQUE DANS LES PYRENEES CATALANES </w:t>
      </w:r>
    </w:p>
    <w:p w:rsidR="00334EC0" w:rsidRPr="00334EC0" w:rsidRDefault="00334EC0" w:rsidP="00A424C2">
      <w:pPr>
        <w:pStyle w:val="Normal2"/>
      </w:pPr>
    </w:p>
    <w:p w:rsidR="00334EC0" w:rsidRPr="00334EC0" w:rsidRDefault="00334EC0" w:rsidP="00334EC0">
      <w:pPr>
        <w:pStyle w:val="Normal2"/>
      </w:pPr>
      <w:r w:rsidRPr="00334EC0">
        <w:rPr>
          <w:b/>
        </w:rPr>
        <w:t>Lieu(x) d’exécution</w:t>
      </w:r>
      <w:r w:rsidRPr="00334EC0">
        <w:t> : PNR DES PYRENEES CATALANES</w:t>
      </w:r>
    </w:p>
    <w:p w:rsidR="00334EC0" w:rsidRPr="00334EC0" w:rsidRDefault="00334EC0">
      <w:pPr>
        <w:pStyle w:val="Titre2"/>
      </w:pPr>
      <w:bookmarkStart w:id="2" w:name="_Toc520903813"/>
      <w:r w:rsidRPr="00334EC0">
        <w:t>1.2 - Etendue de la consultation</w:t>
      </w:r>
      <w:bookmarkEnd w:id="2"/>
    </w:p>
    <w:p w:rsidR="00334EC0" w:rsidRPr="00334EC0" w:rsidRDefault="00334EC0">
      <w:pPr>
        <w:pStyle w:val="Normal2"/>
      </w:pPr>
      <w:r w:rsidRPr="00334EC0">
        <w:t>La présente procédure adaptée ouverte est soumise aux dispositions de l’article 27 du Décret nº2016-360 du 25 mars 2016.</w:t>
      </w:r>
    </w:p>
    <w:p w:rsidR="00334EC0" w:rsidRPr="00334EC0" w:rsidRDefault="00334EC0">
      <w:pPr>
        <w:pStyle w:val="Titre2"/>
      </w:pPr>
      <w:bookmarkStart w:id="3" w:name="_Toc520903814"/>
      <w:r w:rsidRPr="00334EC0">
        <w:t>1.3 - Décomposition de la consultation</w:t>
      </w:r>
      <w:bookmarkEnd w:id="3"/>
    </w:p>
    <w:p w:rsidR="00334EC0" w:rsidRPr="00334EC0" w:rsidRDefault="00334EC0">
      <w:pPr>
        <w:pStyle w:val="Normal2"/>
      </w:pPr>
      <w:r w:rsidRPr="00334EC0">
        <w:t>Il n’est pas prévu de décomposition en tranches ou en lots.</w:t>
      </w:r>
    </w:p>
    <w:p w:rsidR="00334EC0" w:rsidRPr="00334EC0" w:rsidRDefault="00334EC0">
      <w:pPr>
        <w:pStyle w:val="Titre2"/>
      </w:pPr>
      <w:bookmarkStart w:id="4" w:name="_Toc520903815"/>
      <w:r w:rsidRPr="00334EC0">
        <w:t>1.4 - Conditions de participation des concurrents</w:t>
      </w:r>
      <w:bookmarkEnd w:id="4"/>
    </w:p>
    <w:p w:rsidR="00334EC0" w:rsidRPr="00334EC0" w:rsidRDefault="00334EC0" w:rsidP="00A424C2">
      <w:pPr>
        <w:pStyle w:val="Normal2"/>
      </w:pPr>
      <w:r w:rsidRPr="00334EC0">
        <w:t>L’offre, qu’elle soit présentée par une seule entreprise ou par un groupement, devra indiquer tous les sous-traitants connus lors de son dépôt. Elle devra également indiquer les prestations (et leur montant) dont la sous-traitance est envisagée, la dénomination et la qualité des sous-traitants qui l’exécuteront à la place du titulaire.</w:t>
      </w:r>
    </w:p>
    <w:p w:rsidR="00334EC0" w:rsidRPr="00334EC0" w:rsidRDefault="00334EC0" w:rsidP="00A424C2">
      <w:pPr>
        <w:pStyle w:val="Normal2"/>
      </w:pPr>
    </w:p>
    <w:p w:rsidR="00334EC0" w:rsidRPr="00334EC0" w:rsidRDefault="00334EC0" w:rsidP="00A424C2">
      <w:pPr>
        <w:pStyle w:val="Normal2"/>
      </w:pPr>
      <w:r w:rsidRPr="00334EC0">
        <w:t>Le pouvoir adjudicateur ne souhaite imposer aucune forme de groupement à l’attributaire du marché.</w:t>
      </w:r>
    </w:p>
    <w:p w:rsidR="00334EC0" w:rsidRPr="00334EC0" w:rsidRDefault="00334EC0" w:rsidP="00A424C2">
      <w:pPr>
        <w:pStyle w:val="Normal2"/>
      </w:pPr>
    </w:p>
    <w:p w:rsidR="00334EC0" w:rsidRPr="00334EC0" w:rsidRDefault="00334EC0" w:rsidP="00A424C2">
      <w:pPr>
        <w:pStyle w:val="Normal2"/>
      </w:pPr>
      <w:r w:rsidRPr="00334EC0">
        <w:t>Il est interdit aux candidats de présenter plusieurs offres en agissant à la fois :</w:t>
      </w:r>
    </w:p>
    <w:p w:rsidR="00334EC0" w:rsidRPr="00334EC0" w:rsidRDefault="00334EC0" w:rsidP="00A424C2">
      <w:pPr>
        <w:pStyle w:val="Normal2"/>
      </w:pPr>
      <w:r w:rsidRPr="00334EC0">
        <w:t xml:space="preserve">- En qualité de candidats individuels et de membres d’un ou plusieurs groupements ; </w:t>
      </w:r>
    </w:p>
    <w:p w:rsidR="00334EC0" w:rsidRPr="00334EC0" w:rsidRDefault="00334EC0" w:rsidP="00A424C2">
      <w:pPr>
        <w:pStyle w:val="Normal2"/>
      </w:pPr>
      <w:r w:rsidRPr="00334EC0">
        <w:t>- En qualité de membres de plusieurs groupements. </w:t>
      </w:r>
    </w:p>
    <w:p w:rsidR="00334EC0" w:rsidRPr="00334EC0" w:rsidRDefault="00334EC0" w:rsidP="00A424C2">
      <w:pPr>
        <w:pStyle w:val="Normal2"/>
      </w:pPr>
    </w:p>
    <w:p w:rsidR="00334EC0" w:rsidRPr="00334EC0" w:rsidRDefault="00334EC0">
      <w:pPr>
        <w:pStyle w:val="Normal2"/>
      </w:pPr>
      <w:r w:rsidRPr="00334EC0">
        <w:t>Les candidats retenus pour cette consultation se présentent sous la forme d’une équipe pluridisciplinaire dotée des compétences nécessaires à la réalisation des études.</w:t>
      </w:r>
    </w:p>
    <w:p w:rsidR="00334EC0" w:rsidRPr="00334EC0" w:rsidRDefault="00334EC0">
      <w:pPr>
        <w:pStyle w:val="Titre2"/>
      </w:pPr>
      <w:bookmarkStart w:id="5" w:name="_Toc520903816"/>
      <w:r w:rsidRPr="00334EC0">
        <w:t>1.5 - Nomenclature communautaire</w:t>
      </w:r>
      <w:bookmarkEnd w:id="5"/>
    </w:p>
    <w:p w:rsidR="00334EC0" w:rsidRPr="00334EC0" w:rsidRDefault="00334EC0">
      <w:pPr>
        <w:pStyle w:val="Normal2"/>
      </w:pPr>
      <w:r w:rsidRPr="00334EC0">
        <w:t>Sans objet.</w:t>
      </w:r>
    </w:p>
    <w:p w:rsidR="00334EC0" w:rsidRPr="00334EC0" w:rsidRDefault="00334EC0">
      <w:pPr>
        <w:pStyle w:val="Titre1"/>
      </w:pPr>
      <w:bookmarkStart w:id="6" w:name="_Toc520903817"/>
      <w:r w:rsidRPr="00334EC0">
        <w:t>Article 2 : Conditions de la consultation</w:t>
      </w:r>
      <w:bookmarkEnd w:id="6"/>
    </w:p>
    <w:p w:rsidR="00334EC0" w:rsidRPr="00334EC0" w:rsidRDefault="00334EC0">
      <w:pPr>
        <w:pStyle w:val="Titre2"/>
      </w:pPr>
      <w:bookmarkStart w:id="7" w:name="_Toc520903818"/>
      <w:r w:rsidRPr="00334EC0">
        <w:t>2.1 - Durée - Délais d’exécution</w:t>
      </w:r>
      <w:bookmarkEnd w:id="7"/>
    </w:p>
    <w:p w:rsidR="00334EC0" w:rsidRPr="00334EC0" w:rsidRDefault="00334EC0">
      <w:pPr>
        <w:pStyle w:val="Normal2"/>
      </w:pPr>
      <w:r w:rsidRPr="00334EC0">
        <w:t>Les délais d’exécution sont fixés à l’acte d’engagement et ne peuvent en aucun cas être modifiés.</w:t>
      </w:r>
    </w:p>
    <w:p w:rsidR="00334EC0" w:rsidRPr="00334EC0" w:rsidRDefault="00334EC0">
      <w:pPr>
        <w:pStyle w:val="Titre2"/>
      </w:pPr>
      <w:bookmarkStart w:id="8" w:name="_Toc520903819"/>
      <w:r w:rsidRPr="00334EC0">
        <w:t>2.2 - Variantes</w:t>
      </w:r>
      <w:bookmarkEnd w:id="8"/>
    </w:p>
    <w:p w:rsidR="00334EC0" w:rsidRPr="00334EC0" w:rsidRDefault="00334EC0">
      <w:pPr>
        <w:pStyle w:val="Normal2"/>
      </w:pPr>
      <w:r w:rsidRPr="00334EC0">
        <w:t>Aucune variante n’est autorisée.</w:t>
      </w:r>
    </w:p>
    <w:p w:rsidR="00334EC0" w:rsidRPr="00334EC0" w:rsidRDefault="00334EC0">
      <w:pPr>
        <w:pStyle w:val="Titre2"/>
      </w:pPr>
      <w:bookmarkStart w:id="9" w:name="_Toc520903820"/>
      <w:r w:rsidRPr="00334EC0">
        <w:t>2.3 - Délai de validité des offres</w:t>
      </w:r>
      <w:bookmarkEnd w:id="9"/>
    </w:p>
    <w:p w:rsidR="00334EC0" w:rsidRPr="00334EC0" w:rsidRDefault="00334EC0" w:rsidP="00334EC0">
      <w:pPr>
        <w:pStyle w:val="Normal2"/>
      </w:pPr>
      <w:r w:rsidRPr="00334EC0">
        <w:t xml:space="preserve">Le délai de validité des offres est fixé à </w:t>
      </w:r>
      <w:r w:rsidRPr="00334EC0">
        <w:rPr>
          <w:b/>
        </w:rPr>
        <w:t>120 jours </w:t>
      </w:r>
      <w:r w:rsidRPr="00334EC0">
        <w:t>à compter de la date limite de réception des offres.</w:t>
      </w:r>
    </w:p>
    <w:p w:rsidR="00334EC0" w:rsidRPr="00334EC0" w:rsidRDefault="00334EC0">
      <w:pPr>
        <w:pStyle w:val="Titre2"/>
      </w:pPr>
      <w:bookmarkStart w:id="10" w:name="_Toc520903821"/>
      <w:r w:rsidRPr="00334EC0">
        <w:lastRenderedPageBreak/>
        <w:t>2.4 - Mode de règlement et modalités de financement</w:t>
      </w:r>
      <w:bookmarkEnd w:id="10"/>
    </w:p>
    <w:p w:rsidR="00334EC0" w:rsidRPr="00334EC0" w:rsidRDefault="00334EC0">
      <w:pPr>
        <w:pStyle w:val="Normal2"/>
      </w:pPr>
      <w:r w:rsidRPr="00334EC0">
        <w:t>Les sommes dues au(x) titulaire(s) et au(x) sous-traitant(s) de premier rang éventuel(s) du marché, seront payées dans un délai global de 30 jours à compter de la date de réception des factures ou des demandes de paiement équivalentes.</w:t>
      </w:r>
    </w:p>
    <w:p w:rsidR="00334EC0" w:rsidRPr="00334EC0" w:rsidRDefault="00334EC0">
      <w:pPr>
        <w:pStyle w:val="Titre2"/>
      </w:pPr>
      <w:bookmarkStart w:id="11" w:name="_Toc520903822"/>
      <w:r w:rsidRPr="00334EC0">
        <w:t>2.5 – Conditions particulières d’exécution</w:t>
      </w:r>
      <w:bookmarkEnd w:id="11"/>
    </w:p>
    <w:p w:rsidR="00334EC0" w:rsidRPr="00334EC0" w:rsidRDefault="00334EC0">
      <w:pPr>
        <w:pStyle w:val="Normal2"/>
      </w:pPr>
      <w:r w:rsidRPr="00334EC0">
        <w:t>Cette consultation ne comporte aucune des conditions particulières d’exécution visées par l’article 14 du Décret nº2016-360 du 25 mars 2016.</w:t>
      </w:r>
    </w:p>
    <w:p w:rsidR="00334EC0" w:rsidRPr="00334EC0" w:rsidRDefault="00334EC0">
      <w:pPr>
        <w:pStyle w:val="Titre1"/>
      </w:pPr>
      <w:bookmarkStart w:id="12" w:name="_Toc520903823"/>
      <w:r w:rsidRPr="00334EC0">
        <w:t>Article 3 : Contenu du dossier de consultation</w:t>
      </w:r>
      <w:bookmarkEnd w:id="12"/>
    </w:p>
    <w:p w:rsidR="00334EC0" w:rsidRPr="00334EC0" w:rsidRDefault="00334EC0" w:rsidP="00A424C2">
      <w:pPr>
        <w:pStyle w:val="Normal1"/>
      </w:pPr>
      <w:r w:rsidRPr="00334EC0">
        <w:t>Le dossier de consultation contient les pièces suivantes :</w:t>
      </w:r>
    </w:p>
    <w:p w:rsidR="00334EC0" w:rsidRPr="00334EC0" w:rsidRDefault="00334EC0" w:rsidP="00334EC0">
      <w:pPr>
        <w:pStyle w:val="Normal1"/>
        <w:numPr>
          <w:ilvl w:val="0"/>
          <w:numId w:val="2"/>
        </w:numPr>
        <w:ind w:left="851"/>
      </w:pPr>
      <w:r w:rsidRPr="00334EC0">
        <w:t>Le règlement de la consultation (R.C.)</w:t>
      </w:r>
    </w:p>
    <w:p w:rsidR="00334EC0" w:rsidRPr="00334EC0" w:rsidRDefault="00334EC0" w:rsidP="00334EC0">
      <w:pPr>
        <w:pStyle w:val="Normal1"/>
        <w:numPr>
          <w:ilvl w:val="0"/>
          <w:numId w:val="2"/>
        </w:numPr>
        <w:ind w:left="851"/>
      </w:pPr>
      <w:r w:rsidRPr="00334EC0">
        <w:t>L’acte d’engagement (A.E.) et ses annexes</w:t>
      </w:r>
    </w:p>
    <w:p w:rsidR="00334EC0" w:rsidRPr="00334EC0" w:rsidRDefault="00334EC0" w:rsidP="00334EC0">
      <w:pPr>
        <w:pStyle w:val="Normal1"/>
        <w:numPr>
          <w:ilvl w:val="0"/>
          <w:numId w:val="2"/>
        </w:numPr>
        <w:ind w:left="851"/>
      </w:pPr>
      <w:r w:rsidRPr="00334EC0">
        <w:t>Le cahier des clauses administratives particulières (C.C.A.P.)</w:t>
      </w:r>
    </w:p>
    <w:p w:rsidR="00334EC0" w:rsidRPr="00334EC0" w:rsidRDefault="00334EC0" w:rsidP="00334EC0">
      <w:pPr>
        <w:pStyle w:val="Normal1"/>
        <w:numPr>
          <w:ilvl w:val="0"/>
          <w:numId w:val="2"/>
        </w:numPr>
        <w:ind w:left="851"/>
      </w:pPr>
      <w:r w:rsidRPr="00334EC0">
        <w:t>Le cahier des clauses techniques particulières (C.C.T.P.) et ses documents annexés </w:t>
      </w:r>
    </w:p>
    <w:p w:rsidR="00334EC0" w:rsidRPr="00334EC0" w:rsidRDefault="00334EC0" w:rsidP="00A424C2">
      <w:pPr>
        <w:pStyle w:val="Normal1"/>
      </w:pPr>
    </w:p>
    <w:p w:rsidR="00334EC0" w:rsidRDefault="00334EC0" w:rsidP="00A424C2">
      <w:pPr>
        <w:pStyle w:val="Normal1"/>
      </w:pPr>
      <w:r w:rsidRPr="00334EC0">
        <w:t xml:space="preserve">Le dossier de consultation des entreprises est remis gratuitement à chaque candidat. Il est disponible à l’adresse électronique suivante : </w:t>
      </w:r>
      <w:hyperlink r:id="rId10" w:history="1">
        <w:r w:rsidR="00551D52" w:rsidRPr="00D842D6">
          <w:rPr>
            <w:rStyle w:val="Lienhypertexte"/>
          </w:rPr>
          <w:t>http://www.parc-pyrenees-catalanes.fr/informations-pratiques/marches-publics</w:t>
        </w:r>
      </w:hyperlink>
    </w:p>
    <w:p w:rsidR="00551D52" w:rsidRPr="00334EC0" w:rsidRDefault="00551D52" w:rsidP="00A424C2">
      <w:pPr>
        <w:pStyle w:val="Normal1"/>
      </w:pPr>
    </w:p>
    <w:p w:rsidR="00334EC0" w:rsidRPr="00334EC0" w:rsidRDefault="00334EC0">
      <w:pPr>
        <w:pStyle w:val="Normal1"/>
      </w:pPr>
      <w:r w:rsidRPr="00334EC0">
        <w:t>Les candidats peuvent aussi demander la transmission du dossier de consultation ainsi que d’éventuels documents complémentaires sur un support physique électronique.</w:t>
      </w:r>
    </w:p>
    <w:p w:rsidR="00334EC0" w:rsidRPr="00334EC0" w:rsidRDefault="00334EC0">
      <w:pPr>
        <w:pStyle w:val="Titre1"/>
      </w:pPr>
      <w:bookmarkStart w:id="13" w:name="_Toc520903824"/>
      <w:r w:rsidRPr="00334EC0">
        <w:t>Article 4 : Présentation des candidatures et des offres</w:t>
      </w:r>
      <w:bookmarkEnd w:id="13"/>
    </w:p>
    <w:p w:rsidR="00334EC0" w:rsidRPr="00334EC0" w:rsidRDefault="00334EC0" w:rsidP="00A424C2">
      <w:pPr>
        <w:pStyle w:val="Normal1"/>
      </w:pPr>
      <w:r w:rsidRPr="00334EC0">
        <w:t>Les offres des concurrents seront entièrement rédigées en langue française et exprimées en EURO.</w:t>
      </w:r>
    </w:p>
    <w:p w:rsidR="00334EC0" w:rsidRPr="00334EC0" w:rsidRDefault="00334EC0">
      <w:pPr>
        <w:pStyle w:val="Normal1"/>
      </w:pPr>
      <w:r w:rsidRPr="00334EC0">
        <w:t>Si les offres des concurrents sont rédigées dans une autre langue, elles doivent être accompagnées d’une traduction en français; cette traduction doit concerner l’ensemble des documents remis dans l’offre.</w:t>
      </w:r>
    </w:p>
    <w:p w:rsidR="00334EC0" w:rsidRPr="00334EC0" w:rsidRDefault="00334EC0">
      <w:pPr>
        <w:pStyle w:val="Titre2"/>
      </w:pPr>
      <w:bookmarkStart w:id="14" w:name="_Toc520903825"/>
      <w:r w:rsidRPr="00334EC0">
        <w:t>4.1 - Documents à produire</w:t>
      </w:r>
      <w:bookmarkEnd w:id="14"/>
    </w:p>
    <w:p w:rsidR="00334EC0" w:rsidRPr="00334EC0" w:rsidRDefault="00334EC0" w:rsidP="00A424C2">
      <w:pPr>
        <w:pStyle w:val="Normal2"/>
      </w:pPr>
      <w:r w:rsidRPr="00334EC0">
        <w:t>Chaque candidat aura à produire un dossier complet comprenant les pièces suivantes, datées et signées par lui :</w:t>
      </w:r>
    </w:p>
    <w:p w:rsidR="00334EC0" w:rsidRPr="00334EC0" w:rsidRDefault="00334EC0" w:rsidP="00A424C2">
      <w:pPr>
        <w:pStyle w:val="Normal2"/>
      </w:pPr>
    </w:p>
    <w:p w:rsidR="00334EC0" w:rsidRPr="00334EC0" w:rsidRDefault="00334EC0" w:rsidP="00334EC0">
      <w:pPr>
        <w:pStyle w:val="Normal2"/>
      </w:pPr>
      <w:r w:rsidRPr="00334EC0">
        <w:rPr>
          <w:b/>
          <w:u w:val="single"/>
        </w:rPr>
        <w:t xml:space="preserve">Pièces de la candidature : </w:t>
      </w:r>
    </w:p>
    <w:p w:rsidR="00334EC0" w:rsidRPr="00334EC0" w:rsidRDefault="00334EC0" w:rsidP="00A424C2">
      <w:pPr>
        <w:pStyle w:val="Normal2"/>
      </w:pPr>
    </w:p>
    <w:p w:rsidR="00334EC0" w:rsidRPr="00334EC0" w:rsidRDefault="00334EC0" w:rsidP="00A424C2">
      <w:pPr>
        <w:pStyle w:val="Normal2"/>
      </w:pPr>
      <w:r w:rsidRPr="00334EC0">
        <w:t>Les candidats doivent utiliser les formulaires DC1 (lettre de candidature) et DC2 (déclaration du candidat) ou le Document Unique de Marché Européen (DUME) pour présenter leur candidature. Ces documents sont disponibles gratuitement sur le site www.economie.gouv.fr. Ils contiendront les éléments indiqués ci-dessous :</w:t>
      </w:r>
    </w:p>
    <w:p w:rsidR="00334EC0" w:rsidRPr="00334EC0" w:rsidRDefault="00334EC0" w:rsidP="00A424C2">
      <w:pPr>
        <w:pStyle w:val="Normal2"/>
      </w:pPr>
    </w:p>
    <w:p w:rsidR="00334EC0" w:rsidRPr="00334EC0" w:rsidRDefault="00334EC0" w:rsidP="00A424C2">
      <w:pPr>
        <w:pStyle w:val="Normal2"/>
      </w:pPr>
      <w:r w:rsidRPr="00334EC0">
        <w:t>Les renseignements concernant la situation juridique de l’entreprise tels que prévus à l’article 48 du Décret nº2016-360 du 25 mars 2016 :</w:t>
      </w:r>
    </w:p>
    <w:p w:rsidR="00334EC0" w:rsidRPr="00334EC0" w:rsidRDefault="00334EC0" w:rsidP="00334EC0">
      <w:pPr>
        <w:pStyle w:val="Normal2"/>
        <w:numPr>
          <w:ilvl w:val="0"/>
          <w:numId w:val="3"/>
        </w:numPr>
        <w:ind w:left="851"/>
      </w:pPr>
      <w:r w:rsidRPr="00334EC0">
        <w:t>Déclaration sur l’honneur pour justifier que le candidat n’entre dans aucun des cas des interdictions de soumissionner, et notamment qu’il est en règle au regard des articles L. 5212-1 à L. 5212-11 du code du travail concernant l’emploi des travailleurs handicapés ; </w:t>
      </w:r>
    </w:p>
    <w:p w:rsidR="00334EC0" w:rsidRPr="00334EC0" w:rsidRDefault="00334EC0" w:rsidP="00A424C2">
      <w:pPr>
        <w:pStyle w:val="Normal2"/>
      </w:pPr>
    </w:p>
    <w:p w:rsidR="00334EC0" w:rsidRPr="00334EC0" w:rsidRDefault="00334EC0" w:rsidP="00A424C2">
      <w:pPr>
        <w:pStyle w:val="Normal2"/>
      </w:pPr>
      <w:r w:rsidRPr="00334EC0">
        <w:t>Les renseignements concernant la capacité économique et financière de l’entreprise tels que prévus à l’article 44 du Décret nº2016-360 du 25 mars 2016 :</w:t>
      </w:r>
    </w:p>
    <w:p w:rsidR="00334EC0" w:rsidRPr="00334EC0" w:rsidRDefault="00334EC0" w:rsidP="00334EC0">
      <w:pPr>
        <w:pStyle w:val="Normal2"/>
        <w:numPr>
          <w:ilvl w:val="0"/>
          <w:numId w:val="4"/>
        </w:numPr>
        <w:ind w:left="851"/>
      </w:pPr>
      <w:r w:rsidRPr="00334EC0">
        <w:t>Déclaration concernant le chiffre d’affaires global et, le cas échéant, le chiffre d’affaires concernant les services objet du contrat, portant au maximum sur les trois derniers exercices disponibles en fonction de la date de création de l’entreprise ou du début d’activité de l’opérateur économique, dans la mesure où les informations sur ces chiffres d’affaires sont disponibles ;</w:t>
      </w:r>
    </w:p>
    <w:p w:rsidR="00334EC0" w:rsidRPr="00334EC0" w:rsidRDefault="00334EC0" w:rsidP="00334EC0">
      <w:pPr>
        <w:pStyle w:val="Normal2"/>
        <w:numPr>
          <w:ilvl w:val="0"/>
          <w:numId w:val="4"/>
        </w:numPr>
        <w:ind w:left="851"/>
      </w:pPr>
      <w:r w:rsidRPr="00334EC0">
        <w:lastRenderedPageBreak/>
        <w:t>Déclaration appropriée de banques ou, le cas échéant, preuve d’une assurance pour les risques professionnels ; </w:t>
      </w:r>
    </w:p>
    <w:p w:rsidR="00334EC0" w:rsidRPr="00334EC0" w:rsidRDefault="00334EC0" w:rsidP="00A424C2">
      <w:pPr>
        <w:pStyle w:val="Normal2"/>
      </w:pPr>
    </w:p>
    <w:p w:rsidR="00334EC0" w:rsidRPr="00334EC0" w:rsidRDefault="00334EC0" w:rsidP="00A424C2">
      <w:pPr>
        <w:pStyle w:val="Normal2"/>
      </w:pPr>
      <w:r w:rsidRPr="00334EC0">
        <w:t>Les renseignements concernant les références professionnelles et la capacité technique de l’entreprise tels que prévus à l’article 44 du Décret nº2016-360 du 25 mars 2016 :</w:t>
      </w:r>
    </w:p>
    <w:p w:rsidR="00334EC0" w:rsidRPr="00334EC0" w:rsidRDefault="00334EC0" w:rsidP="00334EC0">
      <w:pPr>
        <w:pStyle w:val="Normal2"/>
        <w:numPr>
          <w:ilvl w:val="0"/>
          <w:numId w:val="5"/>
        </w:numPr>
        <w:ind w:left="851"/>
      </w:pPr>
      <w:r w:rsidRPr="00334EC0">
        <w:t>Liste des principaux services effectués au cours des trois dernières années, indiquant le montant, la date et le destinataire public ou privé. Les prestations de services sont prouvées par des attestations du destinataire ou, à défaut, par une déclaration de l’opérateur économique ;</w:t>
      </w:r>
    </w:p>
    <w:p w:rsidR="00334EC0" w:rsidRPr="00334EC0" w:rsidRDefault="00334EC0" w:rsidP="00334EC0">
      <w:pPr>
        <w:pStyle w:val="Normal2"/>
        <w:numPr>
          <w:ilvl w:val="0"/>
          <w:numId w:val="5"/>
        </w:numPr>
        <w:ind w:left="851"/>
      </w:pPr>
      <w:r w:rsidRPr="00334EC0">
        <w:t>Indication des titres d’études et professionnels de l’opérateur économique et/ou des cadres de l’entreprise, et notamment des responsables de prestation de services ou de conduite des travaux de même nature que celle du contrat ; </w:t>
      </w:r>
    </w:p>
    <w:p w:rsidR="00334EC0" w:rsidRPr="00334EC0" w:rsidRDefault="00334EC0" w:rsidP="00A424C2">
      <w:pPr>
        <w:pStyle w:val="Normal2"/>
      </w:pPr>
    </w:p>
    <w:p w:rsidR="00334EC0" w:rsidRPr="00334EC0" w:rsidRDefault="00334EC0" w:rsidP="00A424C2">
      <w:pPr>
        <w:pStyle w:val="Normal2"/>
      </w:pPr>
      <w:r w:rsidRPr="00334EC0">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334EC0" w:rsidRPr="00334EC0" w:rsidRDefault="00334EC0" w:rsidP="00A424C2">
      <w:pPr>
        <w:pStyle w:val="Normal2"/>
      </w:pPr>
    </w:p>
    <w:p w:rsidR="00334EC0" w:rsidRPr="00334EC0" w:rsidRDefault="00334EC0" w:rsidP="00334EC0">
      <w:pPr>
        <w:pStyle w:val="Normal2"/>
      </w:pPr>
      <w:r w:rsidRPr="00334EC0">
        <w:rPr>
          <w:b/>
          <w:u w:val="single"/>
        </w:rPr>
        <w:t>NOTA :</w:t>
      </w:r>
      <w:r w:rsidRPr="00334EC0">
        <w:t xml:space="preserve"> Avant de procéder à l’examen des candidatures, si l’on constate que des pièces visées ci-dessus sont manquantes ou incomplètes, le pouvoir adjudicateur peut décider de demander à tous les candidats concernés de produire ou compléter ces pièces dans un délai de 10 jours.</w:t>
      </w:r>
    </w:p>
    <w:p w:rsidR="00334EC0" w:rsidRPr="00334EC0" w:rsidRDefault="00334EC0" w:rsidP="00A424C2">
      <w:pPr>
        <w:pStyle w:val="Normal2"/>
      </w:pPr>
    </w:p>
    <w:p w:rsidR="00334EC0" w:rsidRPr="00334EC0" w:rsidRDefault="00334EC0" w:rsidP="00334EC0">
      <w:pPr>
        <w:pStyle w:val="Normal2"/>
      </w:pPr>
      <w:r w:rsidRPr="00334EC0">
        <w:rPr>
          <w:b/>
          <w:u w:val="single"/>
        </w:rPr>
        <w:t xml:space="preserve">Pièces de l’offre : </w:t>
      </w:r>
    </w:p>
    <w:p w:rsidR="00334EC0" w:rsidRPr="00334EC0" w:rsidRDefault="00334EC0" w:rsidP="00A424C2">
      <w:pPr>
        <w:pStyle w:val="Normal2"/>
      </w:pPr>
    </w:p>
    <w:p w:rsidR="00334EC0" w:rsidRPr="00334EC0" w:rsidRDefault="00334EC0" w:rsidP="00A424C2">
      <w:pPr>
        <w:pStyle w:val="Normal2"/>
      </w:pPr>
      <w:r w:rsidRPr="00334EC0">
        <w:t>Un projet de marché comprenant :</w:t>
      </w:r>
    </w:p>
    <w:p w:rsidR="00334EC0" w:rsidRPr="00334EC0" w:rsidRDefault="00334EC0" w:rsidP="00334EC0">
      <w:pPr>
        <w:pStyle w:val="Normal2"/>
        <w:numPr>
          <w:ilvl w:val="0"/>
          <w:numId w:val="6"/>
        </w:numPr>
        <w:ind w:left="851"/>
      </w:pPr>
      <w:r w:rsidRPr="00334EC0">
        <w:t>L’acte d’engagement (A.E.) et ses annexes : à compléter par les représentants qualifiés des entreprises ayant vocation à être titulaires du contrat</w:t>
      </w:r>
    </w:p>
    <w:p w:rsidR="00334EC0" w:rsidRPr="00334EC0" w:rsidRDefault="00334EC0" w:rsidP="00334EC0">
      <w:pPr>
        <w:pStyle w:val="Normal2"/>
        <w:numPr>
          <w:ilvl w:val="0"/>
          <w:numId w:val="6"/>
        </w:numPr>
        <w:ind w:left="851"/>
      </w:pPr>
      <w:r w:rsidRPr="00334EC0">
        <w:t>Le cahier des clauses administratives particulières (C.C.A.P.) : cahier ci-joint à accepter sans aucune modification</w:t>
      </w:r>
    </w:p>
    <w:p w:rsidR="00334EC0" w:rsidRPr="00334EC0" w:rsidRDefault="00334EC0" w:rsidP="00334EC0">
      <w:pPr>
        <w:pStyle w:val="Normal2"/>
        <w:numPr>
          <w:ilvl w:val="0"/>
          <w:numId w:val="6"/>
        </w:numPr>
        <w:ind w:left="851"/>
      </w:pPr>
      <w:r w:rsidRPr="00334EC0">
        <w:t>Le cahier des clauses techniques particulières (C.C.T.P.) et ses documents annexés, cahier ci-joint à accepter sans aucune modification</w:t>
      </w:r>
    </w:p>
    <w:p w:rsidR="00334EC0" w:rsidRPr="00334EC0" w:rsidRDefault="00334EC0" w:rsidP="00334EC0">
      <w:pPr>
        <w:pStyle w:val="Normal2"/>
        <w:numPr>
          <w:ilvl w:val="0"/>
          <w:numId w:val="6"/>
        </w:numPr>
        <w:ind w:left="851"/>
      </w:pPr>
      <w:r w:rsidRPr="00334EC0">
        <w:t>Le détail estimatif</w:t>
      </w:r>
    </w:p>
    <w:p w:rsidR="00334EC0" w:rsidRPr="00334EC0" w:rsidRDefault="00551D52" w:rsidP="00334EC0">
      <w:pPr>
        <w:pStyle w:val="Normal2"/>
        <w:numPr>
          <w:ilvl w:val="0"/>
          <w:numId w:val="6"/>
        </w:numPr>
        <w:ind w:left="851"/>
      </w:pPr>
      <w:r>
        <w:t>L’offre technique du candidat et ses annexes</w:t>
      </w:r>
    </w:p>
    <w:p w:rsidR="00334EC0" w:rsidRPr="00334EC0" w:rsidRDefault="00334EC0" w:rsidP="00A424C2">
      <w:pPr>
        <w:pStyle w:val="Normal2"/>
      </w:pPr>
    </w:p>
    <w:p w:rsidR="00334EC0" w:rsidRPr="00334EC0" w:rsidRDefault="00334EC0" w:rsidP="00A424C2">
      <w:pPr>
        <w:pStyle w:val="Normal2"/>
      </w:pPr>
      <w:r w:rsidRPr="00334EC0">
        <w:t>Le dossier sera transmis au moyen d’un pli contenant les pièces de la candidature et de l’offre.</w:t>
      </w:r>
    </w:p>
    <w:p w:rsidR="00334EC0" w:rsidRPr="00334EC0" w:rsidRDefault="00334EC0" w:rsidP="00A424C2">
      <w:pPr>
        <w:pStyle w:val="Normal2"/>
      </w:pPr>
    </w:p>
    <w:p w:rsidR="00334EC0" w:rsidRPr="00334EC0" w:rsidRDefault="00334EC0" w:rsidP="00334EC0">
      <w:pPr>
        <w:pStyle w:val="Normal2"/>
      </w:pPr>
      <w:r w:rsidRPr="00334EC0">
        <w:rPr>
          <w:b/>
          <w:u w:val="single"/>
        </w:rPr>
        <w:t>NOTA :</w:t>
      </w:r>
    </w:p>
    <w:p w:rsidR="00334EC0" w:rsidRPr="00334EC0" w:rsidRDefault="00334EC0">
      <w:pPr>
        <w:pStyle w:val="Normal2"/>
      </w:pPr>
      <w:r w:rsidRPr="00334EC0">
        <w:t>L’attention des candidats est attirée sur le fait que s’ils veulent renoncer au bénéfice de l’avance prévue au cahier des clauses administratives particulières, ils doivent le préciser à l’acte d’engagement.</w:t>
      </w:r>
    </w:p>
    <w:p w:rsidR="00334EC0" w:rsidRPr="00334EC0" w:rsidRDefault="00334EC0">
      <w:pPr>
        <w:pStyle w:val="Titre2"/>
      </w:pPr>
      <w:bookmarkStart w:id="15" w:name="_Toc520903826"/>
      <w:r w:rsidRPr="00334EC0">
        <w:t>4.2 - Variantes</w:t>
      </w:r>
      <w:bookmarkEnd w:id="15"/>
    </w:p>
    <w:p w:rsidR="00334EC0" w:rsidRPr="00334EC0" w:rsidRDefault="00334EC0">
      <w:pPr>
        <w:pStyle w:val="Normal2"/>
      </w:pPr>
      <w:r w:rsidRPr="00334EC0">
        <w:t>Aucune variante n’est autorisée.</w:t>
      </w:r>
    </w:p>
    <w:p w:rsidR="00334EC0" w:rsidRPr="00334EC0" w:rsidRDefault="00334EC0">
      <w:pPr>
        <w:pStyle w:val="Titre1"/>
      </w:pPr>
      <w:bookmarkStart w:id="16" w:name="_Toc520903827"/>
      <w:r w:rsidRPr="00334EC0">
        <w:t>Article 5 : Sélection des candidatures et jugement des offres</w:t>
      </w:r>
      <w:bookmarkEnd w:id="16"/>
    </w:p>
    <w:p w:rsidR="00334EC0" w:rsidRPr="00334EC0" w:rsidRDefault="00334EC0" w:rsidP="00334EC0">
      <w:pPr>
        <w:pStyle w:val="Normal1"/>
        <w:keepNext/>
        <w:keepLines w:val="0"/>
        <w:ind w:firstLine="0"/>
        <w:jc w:val="left"/>
      </w:pPr>
      <w:r w:rsidRPr="00334EC0">
        <w:t>Le jugement des offres sera effectué dans le respect des principes fondamentaux de la commande publique selon les critères indiqués ci-dessous et pondérés de la manière suivante :</w:t>
      </w:r>
    </w:p>
    <w:p w:rsidR="00334EC0" w:rsidRPr="00334EC0" w:rsidRDefault="00334EC0" w:rsidP="00334EC0">
      <w:pPr>
        <w:pStyle w:val="Normal1"/>
        <w:keepNext/>
        <w:keepLines w:val="0"/>
        <w:ind w:firstLine="0"/>
        <w:jc w:val="left"/>
      </w:pPr>
    </w:p>
    <w:tbl>
      <w:tblPr>
        <w:tblW w:w="9049"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7303"/>
        <w:gridCol w:w="1746"/>
      </w:tblGrid>
      <w:tr w:rsidR="00334EC0" w:rsidRPr="00334EC0" w:rsidTr="00334EC0">
        <w:trPr>
          <w:cantSplit/>
          <w:tblHeader/>
        </w:trPr>
        <w:tc>
          <w:tcPr>
            <w:tcW w:w="7303" w:type="dxa"/>
            <w:tcBorders>
              <w:top w:val="single" w:sz="6" w:space="0" w:color="000000"/>
              <w:left w:val="single" w:sz="6" w:space="0" w:color="auto"/>
              <w:bottom w:val="single" w:sz="6" w:space="0" w:color="000000"/>
            </w:tcBorders>
            <w:shd w:val="pct30" w:color="FFFF00" w:fill="FFFFFF"/>
          </w:tcPr>
          <w:p w:rsidR="00334EC0" w:rsidRPr="00334EC0" w:rsidRDefault="00334EC0" w:rsidP="00334EC0">
            <w:pPr>
              <w:pStyle w:val="Normal1"/>
              <w:keepNext/>
              <w:tabs>
                <w:tab w:val="clear" w:pos="284"/>
                <w:tab w:val="clear" w:pos="567"/>
                <w:tab w:val="clear" w:pos="851"/>
              </w:tabs>
              <w:ind w:firstLine="0"/>
              <w:jc w:val="center"/>
              <w:rPr>
                <w:i/>
              </w:rPr>
            </w:pPr>
            <w:r w:rsidRPr="00334EC0">
              <w:rPr>
                <w:i/>
              </w:rPr>
              <w:t>Critères</w:t>
            </w:r>
          </w:p>
        </w:tc>
        <w:tc>
          <w:tcPr>
            <w:tcW w:w="1746" w:type="dxa"/>
            <w:tcBorders>
              <w:top w:val="single" w:sz="6" w:space="0" w:color="000000"/>
              <w:bottom w:val="single" w:sz="6" w:space="0" w:color="000000"/>
              <w:right w:val="single" w:sz="6" w:space="0" w:color="auto"/>
            </w:tcBorders>
            <w:shd w:val="pct30" w:color="FFFF00" w:fill="FFFFFF"/>
          </w:tcPr>
          <w:p w:rsidR="00334EC0" w:rsidRPr="00334EC0" w:rsidRDefault="00334EC0" w:rsidP="00334EC0">
            <w:pPr>
              <w:pStyle w:val="Normal1"/>
              <w:keepNext/>
              <w:tabs>
                <w:tab w:val="clear" w:pos="284"/>
                <w:tab w:val="clear" w:pos="567"/>
                <w:tab w:val="clear" w:pos="851"/>
              </w:tabs>
              <w:ind w:firstLine="0"/>
              <w:jc w:val="center"/>
              <w:rPr>
                <w:i/>
              </w:rPr>
            </w:pPr>
            <w:r w:rsidRPr="00334EC0">
              <w:rPr>
                <w:i/>
              </w:rPr>
              <w:t>Pondération</w:t>
            </w:r>
          </w:p>
        </w:tc>
      </w:tr>
      <w:tr w:rsidR="00334EC0" w:rsidRPr="00334EC0" w:rsidTr="00334EC0">
        <w:trPr>
          <w:cantSplit/>
        </w:trPr>
        <w:tc>
          <w:tcPr>
            <w:tcW w:w="7303" w:type="dxa"/>
            <w:tcBorders>
              <w:top w:val="single" w:sz="6" w:space="0" w:color="000000"/>
              <w:left w:val="single" w:sz="6" w:space="0" w:color="auto"/>
              <w:bottom w:val="dotted" w:sz="4" w:space="0" w:color="auto"/>
            </w:tcBorders>
            <w:shd w:val="clear" w:color="auto" w:fill="auto"/>
          </w:tcPr>
          <w:p w:rsidR="00334EC0" w:rsidRPr="00334EC0" w:rsidRDefault="00334EC0" w:rsidP="00334EC0">
            <w:pPr>
              <w:pStyle w:val="Normal1"/>
              <w:keepNext/>
              <w:tabs>
                <w:tab w:val="clear" w:pos="284"/>
                <w:tab w:val="clear" w:pos="567"/>
                <w:tab w:val="clear" w:pos="851"/>
              </w:tabs>
              <w:ind w:firstLine="0"/>
              <w:jc w:val="left"/>
            </w:pPr>
            <w:r w:rsidRPr="00334EC0">
              <w:t>1-Valeur technique</w:t>
            </w:r>
          </w:p>
        </w:tc>
        <w:tc>
          <w:tcPr>
            <w:tcW w:w="1746" w:type="dxa"/>
            <w:tcBorders>
              <w:top w:val="single" w:sz="6" w:space="0" w:color="000000"/>
              <w:bottom w:val="dotted" w:sz="4" w:space="0" w:color="auto"/>
              <w:right w:val="single" w:sz="6" w:space="0" w:color="auto"/>
            </w:tcBorders>
            <w:shd w:val="clear" w:color="auto" w:fill="auto"/>
          </w:tcPr>
          <w:p w:rsidR="00334EC0" w:rsidRPr="00334EC0" w:rsidRDefault="00334EC0" w:rsidP="00334EC0">
            <w:pPr>
              <w:pStyle w:val="Normal1"/>
              <w:keepNext/>
              <w:tabs>
                <w:tab w:val="clear" w:pos="284"/>
                <w:tab w:val="clear" w:pos="567"/>
                <w:tab w:val="clear" w:pos="851"/>
              </w:tabs>
              <w:ind w:firstLine="0"/>
              <w:jc w:val="left"/>
            </w:pPr>
            <w:r w:rsidRPr="00334EC0">
              <w:t>60%</w:t>
            </w:r>
          </w:p>
        </w:tc>
      </w:tr>
      <w:tr w:rsidR="00334EC0" w:rsidRPr="00334EC0" w:rsidTr="00334EC0">
        <w:trPr>
          <w:cantSplit/>
        </w:trPr>
        <w:tc>
          <w:tcPr>
            <w:tcW w:w="7303" w:type="dxa"/>
            <w:tcBorders>
              <w:top w:val="dotted" w:sz="4" w:space="0" w:color="auto"/>
              <w:left w:val="single" w:sz="6" w:space="0" w:color="auto"/>
              <w:bottom w:val="single" w:sz="6" w:space="0" w:color="000000"/>
            </w:tcBorders>
            <w:shd w:val="clear" w:color="auto" w:fill="auto"/>
          </w:tcPr>
          <w:p w:rsidR="00334EC0" w:rsidRPr="00334EC0" w:rsidRDefault="00334EC0" w:rsidP="00334EC0">
            <w:pPr>
              <w:pStyle w:val="Normal1"/>
              <w:tabs>
                <w:tab w:val="clear" w:pos="284"/>
                <w:tab w:val="clear" w:pos="567"/>
                <w:tab w:val="clear" w:pos="851"/>
              </w:tabs>
              <w:ind w:firstLine="0"/>
              <w:jc w:val="left"/>
            </w:pPr>
            <w:r w:rsidRPr="00334EC0">
              <w:t>2-Prix des prestations</w:t>
            </w:r>
          </w:p>
        </w:tc>
        <w:tc>
          <w:tcPr>
            <w:tcW w:w="1746" w:type="dxa"/>
            <w:tcBorders>
              <w:top w:val="dotted" w:sz="4" w:space="0" w:color="auto"/>
              <w:bottom w:val="single" w:sz="6" w:space="0" w:color="000000"/>
              <w:right w:val="single" w:sz="6" w:space="0" w:color="auto"/>
            </w:tcBorders>
            <w:shd w:val="clear" w:color="auto" w:fill="auto"/>
          </w:tcPr>
          <w:p w:rsidR="00334EC0" w:rsidRPr="00334EC0" w:rsidRDefault="00334EC0" w:rsidP="00334EC0">
            <w:pPr>
              <w:pStyle w:val="Normal1"/>
              <w:tabs>
                <w:tab w:val="clear" w:pos="284"/>
                <w:tab w:val="clear" w:pos="567"/>
                <w:tab w:val="clear" w:pos="851"/>
              </w:tabs>
              <w:ind w:firstLine="0"/>
              <w:jc w:val="left"/>
            </w:pPr>
            <w:r w:rsidRPr="00334EC0">
              <w:t>40%</w:t>
            </w:r>
          </w:p>
        </w:tc>
      </w:tr>
    </w:tbl>
    <w:p w:rsidR="00334EC0" w:rsidRPr="00334EC0" w:rsidRDefault="00334EC0" w:rsidP="00334EC0">
      <w:pPr>
        <w:pStyle w:val="Normal1"/>
      </w:pPr>
      <w:r w:rsidRPr="00334EC0">
        <w:t> </w:t>
      </w:r>
    </w:p>
    <w:p w:rsidR="00334EC0" w:rsidRDefault="00334EC0" w:rsidP="00A424C2">
      <w:pPr>
        <w:pStyle w:val="Normal1"/>
      </w:pPr>
      <w:r w:rsidRPr="00334EC0">
        <w:lastRenderedPageBreak/>
        <w:t>Dans le cas où des erreurs purement matérielles (de multiplication, d’addition ou de report) seraient constatées dans l’offre du candidat, l’entreprise sera invitée à confirmer l’offre rectifiée ; en cas de refus, son offre sera éliminée comme non cohérente.</w:t>
      </w:r>
    </w:p>
    <w:p w:rsidR="00B05B2F" w:rsidRDefault="00B05B2F" w:rsidP="00A424C2">
      <w:pPr>
        <w:pStyle w:val="Normal1"/>
      </w:pPr>
    </w:p>
    <w:p w:rsidR="00B05B2F" w:rsidRDefault="00B05B2F" w:rsidP="00B05B2F">
      <w:pPr>
        <w:pStyle w:val="Titre3"/>
      </w:pPr>
      <w:bookmarkStart w:id="17" w:name="_Toc406510300"/>
      <w:bookmarkStart w:id="18" w:name="_Toc406510218"/>
      <w:bookmarkStart w:id="19" w:name="_Toc406509979"/>
      <w:bookmarkStart w:id="20" w:name="_Toc406509893"/>
      <w:r>
        <w:t xml:space="preserve">5.1 Audition </w:t>
      </w:r>
      <w:bookmarkEnd w:id="17"/>
      <w:bookmarkEnd w:id="18"/>
      <w:bookmarkEnd w:id="19"/>
      <w:bookmarkEnd w:id="20"/>
    </w:p>
    <w:p w:rsidR="00B05B2F" w:rsidRPr="00B05B2F" w:rsidRDefault="00B05B2F" w:rsidP="00B05B2F"/>
    <w:p w:rsidR="00B05B2F" w:rsidRPr="00B05B2F" w:rsidRDefault="00B05B2F" w:rsidP="00B05B2F">
      <w:pPr>
        <w:pStyle w:val="Normal1"/>
      </w:pPr>
      <w:r w:rsidRPr="00B05B2F">
        <w:t xml:space="preserve">Le maître d’ouvrage suite à l’analyse des offres convoquera à des auditions les 3 premiers candidats issus du classement selon les critères définis ci-dessus. </w:t>
      </w:r>
    </w:p>
    <w:p w:rsidR="00B05B2F" w:rsidRPr="00B05B2F" w:rsidRDefault="00B05B2F" w:rsidP="00B05B2F">
      <w:pPr>
        <w:pStyle w:val="Normal1"/>
      </w:pPr>
      <w:r w:rsidRPr="00B05B2F">
        <w:t xml:space="preserve">Lors de ces auditions, les candidats devront illustrer leur </w:t>
      </w:r>
      <w:r>
        <w:t>offre technique</w:t>
      </w:r>
      <w:r w:rsidRPr="00B05B2F">
        <w:t xml:space="preserve"> avec des supports adaptés qu’ils jugeront utiles.</w:t>
      </w:r>
    </w:p>
    <w:p w:rsidR="00B05B2F" w:rsidRPr="00B05B2F" w:rsidRDefault="00B05B2F" w:rsidP="00B05B2F">
      <w:pPr>
        <w:pStyle w:val="Normal1"/>
      </w:pPr>
      <w:r w:rsidRPr="00B05B2F">
        <w:t>A  l’issue des auditions, un deuxième classement sera effectué selon les mêmes critères définis ci-dessus</w:t>
      </w:r>
    </w:p>
    <w:p w:rsidR="008E515B" w:rsidRDefault="00B05B2F" w:rsidP="00A424C2">
      <w:pPr>
        <w:pStyle w:val="Normal1"/>
        <w:rPr>
          <w:b/>
          <w:u w:val="thick" w:color="FF0000"/>
        </w:rPr>
      </w:pPr>
      <w:r w:rsidRPr="009B1833">
        <w:rPr>
          <w:b/>
          <w:u w:val="thick" w:color="FF0000"/>
        </w:rPr>
        <w:t xml:space="preserve">L’audition se déroulera </w:t>
      </w:r>
      <w:r w:rsidR="009B1833" w:rsidRPr="009B1833">
        <w:rPr>
          <w:b/>
          <w:u w:val="thick" w:color="FF0000"/>
        </w:rPr>
        <w:t xml:space="preserve">le </w:t>
      </w:r>
      <w:r w:rsidR="005732F3">
        <w:rPr>
          <w:b/>
          <w:u w:val="thick" w:color="FF0000"/>
        </w:rPr>
        <w:t xml:space="preserve">16 </w:t>
      </w:r>
      <w:r w:rsidR="00B1443C">
        <w:rPr>
          <w:b/>
          <w:u w:val="thick" w:color="FF0000"/>
        </w:rPr>
        <w:t xml:space="preserve">octobre </w:t>
      </w:r>
      <w:r w:rsidR="009B1833" w:rsidRPr="009B1833">
        <w:rPr>
          <w:b/>
          <w:u w:val="thick" w:color="FF0000"/>
        </w:rPr>
        <w:t xml:space="preserve"> 2018 à partir de </w:t>
      </w:r>
      <w:r w:rsidR="005732F3">
        <w:rPr>
          <w:b/>
          <w:u w:val="thick" w:color="FF0000"/>
        </w:rPr>
        <w:t>14</w:t>
      </w:r>
      <w:r w:rsidR="009B1833" w:rsidRPr="009B1833">
        <w:rPr>
          <w:b/>
          <w:u w:val="thick" w:color="FF0000"/>
        </w:rPr>
        <w:t>h30 dans les locaux du PNR à Olette 66360.</w:t>
      </w:r>
      <w:r w:rsidR="008E515B">
        <w:rPr>
          <w:b/>
          <w:u w:val="thick" w:color="FF0000"/>
        </w:rPr>
        <w:t xml:space="preserve"> </w:t>
      </w:r>
    </w:p>
    <w:p w:rsidR="00B05B2F" w:rsidRPr="008E515B" w:rsidRDefault="008E515B" w:rsidP="00A424C2">
      <w:pPr>
        <w:pStyle w:val="Normal1"/>
      </w:pPr>
      <w:r w:rsidRPr="008E515B">
        <w:t xml:space="preserve">Les candidats retenus seront informés par mail ou par téléphone au plus tard 48h avant. </w:t>
      </w:r>
    </w:p>
    <w:p w:rsidR="00334EC0" w:rsidRPr="00334EC0" w:rsidRDefault="00334EC0" w:rsidP="00A424C2">
      <w:pPr>
        <w:pStyle w:val="Normal1"/>
      </w:pPr>
    </w:p>
    <w:p w:rsidR="00334EC0" w:rsidRPr="00334EC0" w:rsidRDefault="00334EC0" w:rsidP="00A424C2">
      <w:pPr>
        <w:pStyle w:val="Normal1"/>
      </w:pPr>
      <w:r w:rsidRPr="00334EC0">
        <w:t>L’attention des candidats est attirée sur le fait que la présente consultation ne fera l’objet d’aucune négociation. Toutefois, toute offre incomplète ou méconnaissant la législation en vigueur pourra faire l’objet d’une demande de régularisation, à condition qu’elle ne soit pas anormalement basse.</w:t>
      </w:r>
    </w:p>
    <w:p w:rsidR="00334EC0" w:rsidRPr="00334EC0" w:rsidRDefault="00334EC0" w:rsidP="00A424C2">
      <w:pPr>
        <w:pStyle w:val="Normal1"/>
      </w:pPr>
    </w:p>
    <w:p w:rsidR="00334EC0" w:rsidRDefault="00334EC0">
      <w:pPr>
        <w:pStyle w:val="Normal1"/>
      </w:pPr>
      <w:r w:rsidRPr="00334EC0">
        <w:t>Le ou les candidats retenus produisent les certificats et attestations de l’article 51 du Décret nº2016-360 du 25 mars 2016. Le délai imparti par le pouvoir adjudicateur pour remettre ces documents ne pourra être supérieur à 10 jours.</w:t>
      </w:r>
    </w:p>
    <w:p w:rsidR="00806A48" w:rsidRDefault="00806A48">
      <w:pPr>
        <w:pStyle w:val="Normal1"/>
      </w:pPr>
    </w:p>
    <w:p w:rsidR="00806A48" w:rsidRPr="00334EC0" w:rsidRDefault="00806A48">
      <w:pPr>
        <w:pStyle w:val="Normal1"/>
      </w:pPr>
    </w:p>
    <w:p w:rsidR="00334EC0" w:rsidRPr="00334EC0" w:rsidRDefault="00334EC0">
      <w:pPr>
        <w:pStyle w:val="Titre1"/>
      </w:pPr>
      <w:bookmarkStart w:id="21" w:name="_Toc520903828"/>
      <w:r w:rsidRPr="00334EC0">
        <w:t>Article 6 : Conditions d’envoi ou de remise des plis</w:t>
      </w:r>
      <w:bookmarkEnd w:id="21"/>
    </w:p>
    <w:p w:rsidR="00334EC0" w:rsidRPr="00334EC0" w:rsidRDefault="00334EC0">
      <w:pPr>
        <w:pStyle w:val="Titre2"/>
      </w:pPr>
      <w:bookmarkStart w:id="22" w:name="_Toc520903829"/>
      <w:r w:rsidRPr="00334EC0">
        <w:t>6.1 – Transmission sous support papier</w:t>
      </w:r>
      <w:bookmarkEnd w:id="22"/>
    </w:p>
    <w:p w:rsidR="00334EC0" w:rsidRPr="00334EC0" w:rsidRDefault="00334EC0" w:rsidP="00A424C2">
      <w:pPr>
        <w:pStyle w:val="Normal2"/>
      </w:pPr>
      <w:r w:rsidRPr="00334EC0">
        <w:t>Les candidats transmettent leur offre sous pli cacheté portant les mentions :</w:t>
      </w:r>
    </w:p>
    <w:p w:rsidR="00334EC0" w:rsidRPr="00334EC0" w:rsidRDefault="00334EC0" w:rsidP="00A424C2">
      <w:pPr>
        <w:pStyle w:val="Normal2"/>
      </w:pP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pPr>
      <w:r w:rsidRPr="00334EC0">
        <w:rPr>
          <w:u w:val="single"/>
        </w:rPr>
        <w:t>Offre pour :</w:t>
      </w: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jc w:val="center"/>
      </w:pPr>
      <w:r w:rsidRPr="00334EC0">
        <w:rPr>
          <w:b/>
        </w:rPr>
        <w:t>MISSION DE SUIVI  ANIMATION D’UNE OPERATION PROGRAMMEE D’AMELIORATION DE L’OFFRE D’HEBERGEMENT TOURISTIQUE DANS LES PYRENEES CATALANES </w:t>
      </w: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pP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jc w:val="center"/>
      </w:pPr>
      <w:r w:rsidRPr="00334EC0">
        <w:rPr>
          <w:b/>
        </w:rPr>
        <w:t>NE PAS OUVRIR</w:t>
      </w:r>
    </w:p>
    <w:p w:rsidR="00334EC0" w:rsidRPr="00334EC0" w:rsidRDefault="00334EC0" w:rsidP="00334EC0">
      <w:pPr>
        <w:pStyle w:val="Normal2"/>
      </w:pPr>
    </w:p>
    <w:p w:rsidR="00334EC0" w:rsidRPr="00334EC0" w:rsidRDefault="00334EC0" w:rsidP="00A424C2">
      <w:pPr>
        <w:pStyle w:val="Normal2"/>
      </w:pPr>
    </w:p>
    <w:p w:rsidR="00334EC0" w:rsidRPr="00334EC0" w:rsidRDefault="00334EC0" w:rsidP="00A424C2">
      <w:pPr>
        <w:pStyle w:val="Normal2"/>
      </w:pPr>
      <w:r w:rsidRPr="00334EC0">
        <w:t>Ce pli doit contenir dans une seule enveloppe, les pièces définies dans le présent document et devra être remis contre récépissé ou, s’il est envoyé par la poste par pli recommandé avec avis de réception postal, parvenir à destination avant la date et l’heure limites de réception des offres indiquées sur la page de garde du présent document et ce, à l’adresse suivante :</w:t>
      </w:r>
    </w:p>
    <w:p w:rsidR="00334EC0" w:rsidRPr="00334EC0" w:rsidRDefault="00334EC0" w:rsidP="00A424C2">
      <w:pPr>
        <w:pStyle w:val="Normal2"/>
      </w:pPr>
    </w:p>
    <w:p w:rsidR="00334EC0" w:rsidRPr="00334EC0" w:rsidRDefault="00334EC0" w:rsidP="00334EC0">
      <w:pPr>
        <w:pStyle w:val="Normal2"/>
        <w:jc w:val="center"/>
        <w:rPr>
          <w:b/>
        </w:rPr>
      </w:pPr>
      <w:r w:rsidRPr="00334EC0">
        <w:rPr>
          <w:b/>
        </w:rPr>
        <w:t>Syndicat Mixte du Parc naturel régional des Pyrénées catalanes</w:t>
      </w:r>
    </w:p>
    <w:p w:rsidR="00334EC0" w:rsidRPr="00334EC0" w:rsidRDefault="00334EC0" w:rsidP="00334EC0">
      <w:pPr>
        <w:pStyle w:val="Normal2"/>
        <w:jc w:val="center"/>
        <w:rPr>
          <w:b/>
        </w:rPr>
      </w:pPr>
      <w:r w:rsidRPr="00334EC0">
        <w:rPr>
          <w:b/>
        </w:rPr>
        <w:t xml:space="preserve">La Bastide </w:t>
      </w:r>
    </w:p>
    <w:p w:rsidR="00334EC0" w:rsidRPr="00334EC0" w:rsidRDefault="00334EC0" w:rsidP="00334EC0">
      <w:pPr>
        <w:pStyle w:val="Normal2"/>
        <w:jc w:val="center"/>
        <w:rPr>
          <w:b/>
        </w:rPr>
      </w:pPr>
      <w:r w:rsidRPr="00334EC0">
        <w:rPr>
          <w:b/>
        </w:rPr>
        <w:t>66360 OLETTE</w:t>
      </w:r>
    </w:p>
    <w:p w:rsidR="00334EC0" w:rsidRPr="00334EC0" w:rsidRDefault="00334EC0" w:rsidP="00334EC0">
      <w:pPr>
        <w:pStyle w:val="Normal2"/>
        <w:jc w:val="center"/>
      </w:pPr>
      <w:r w:rsidRPr="00334EC0">
        <w:rPr>
          <w:b/>
        </w:rPr>
        <w:t>contact@parc-pyrenees-catalanes.fr </w:t>
      </w:r>
    </w:p>
    <w:p w:rsidR="00334EC0" w:rsidRPr="00334EC0" w:rsidRDefault="00334EC0" w:rsidP="00A424C2">
      <w:pPr>
        <w:pStyle w:val="Normal2"/>
      </w:pPr>
    </w:p>
    <w:p w:rsidR="00334EC0" w:rsidRPr="00334EC0" w:rsidRDefault="00334EC0">
      <w:pPr>
        <w:pStyle w:val="Normal2"/>
      </w:pPr>
      <w:r w:rsidRPr="00334EC0">
        <w:t>Le pli qui serait remis ou dont l’avis de réception serait délivré après la date et l’heure limites précitées ainsi que remis sous enveloppe non cachetée, ne sera pas retenu.</w:t>
      </w:r>
    </w:p>
    <w:p w:rsidR="00334EC0" w:rsidRPr="00334EC0" w:rsidRDefault="00334EC0">
      <w:pPr>
        <w:pStyle w:val="Titre2"/>
      </w:pPr>
      <w:bookmarkStart w:id="23" w:name="_Toc520903830"/>
      <w:r w:rsidRPr="00334EC0">
        <w:lastRenderedPageBreak/>
        <w:t>6.2 – Transmission électronique</w:t>
      </w:r>
      <w:bookmarkEnd w:id="23"/>
    </w:p>
    <w:p w:rsidR="00514217" w:rsidRDefault="00334EC0" w:rsidP="00A424C2">
      <w:pPr>
        <w:pStyle w:val="Normal2"/>
        <w:rPr>
          <w:rStyle w:val="Lienhypertexte"/>
        </w:rPr>
      </w:pPr>
      <w:r w:rsidRPr="00334EC0">
        <w:t xml:space="preserve">Le pouvoir adjudicateur préconise la transmission des documents par voie papier mais accepte les plis adressés par voie électronique à l’adresse suivante : </w:t>
      </w:r>
      <w:hyperlink r:id="rId11" w:tgtFrame="_blank" w:history="1">
        <w:r w:rsidR="004068AB" w:rsidRPr="004068AB">
          <w:rPr>
            <w:rStyle w:val="Lienhypertexte"/>
            <w:b/>
            <w:bCs/>
          </w:rPr>
          <w:t>https://marchesonline.achatpublic.com/sdm/ent/gen/ent_detail.do?PCSLID=CSL_2018_wro-cCmEmb</w:t>
        </w:r>
      </w:hyperlink>
    </w:p>
    <w:p w:rsidR="0003628B" w:rsidRDefault="0003628B" w:rsidP="00A424C2">
      <w:pPr>
        <w:pStyle w:val="Normal2"/>
        <w:rPr>
          <w:rStyle w:val="Lienhypertexte"/>
        </w:rPr>
      </w:pPr>
    </w:p>
    <w:p w:rsidR="004068AB" w:rsidRPr="004068AB" w:rsidRDefault="004068AB" w:rsidP="00A424C2">
      <w:pPr>
        <w:pStyle w:val="Normal2"/>
        <w:rPr>
          <w:rStyle w:val="Lienhypertexte"/>
          <w:b/>
          <w:color w:val="000000" w:themeColor="text1"/>
          <w:u w:val="none"/>
        </w:rPr>
      </w:pPr>
      <w:proofErr w:type="gramStart"/>
      <w:r w:rsidRPr="004068AB">
        <w:rPr>
          <w:rStyle w:val="Lienhypertexte"/>
          <w:b/>
          <w:color w:val="000000" w:themeColor="text1"/>
          <w:u w:val="none"/>
        </w:rPr>
        <w:t>ou</w:t>
      </w:r>
      <w:proofErr w:type="gramEnd"/>
    </w:p>
    <w:p w:rsidR="004068AB" w:rsidRDefault="004068AB" w:rsidP="00A424C2">
      <w:pPr>
        <w:pStyle w:val="Normal2"/>
        <w:rPr>
          <w:rStyle w:val="Lienhypertexte"/>
        </w:rPr>
      </w:pPr>
    </w:p>
    <w:p w:rsidR="004068AB" w:rsidRPr="004068AB" w:rsidRDefault="004068AB" w:rsidP="00A424C2">
      <w:pPr>
        <w:pStyle w:val="Normal2"/>
        <w:rPr>
          <w:rStyle w:val="Lienhypertexte"/>
          <w:b/>
          <w:bCs/>
        </w:rPr>
      </w:pPr>
      <w:hyperlink r:id="rId12" w:history="1">
        <w:r w:rsidRPr="004068AB">
          <w:rPr>
            <w:rStyle w:val="Lienhypertexte"/>
            <w:b/>
            <w:bCs/>
          </w:rPr>
          <w:t>http://k6.re/Inx</w:t>
        </w:r>
        <w:bookmarkStart w:id="24" w:name="_GoBack"/>
        <w:bookmarkEnd w:id="24"/>
        <w:r w:rsidRPr="004068AB">
          <w:rPr>
            <w:rStyle w:val="Lienhypertexte"/>
            <w:b/>
            <w:bCs/>
          </w:rPr>
          <w:t>F</w:t>
        </w:r>
        <w:r w:rsidRPr="004068AB">
          <w:rPr>
            <w:rStyle w:val="Lienhypertexte"/>
            <w:b/>
            <w:bCs/>
          </w:rPr>
          <w:t>U</w:t>
        </w:r>
      </w:hyperlink>
    </w:p>
    <w:p w:rsidR="004068AB" w:rsidRDefault="004068AB" w:rsidP="00A424C2">
      <w:pPr>
        <w:pStyle w:val="Normal2"/>
        <w:rPr>
          <w:rStyle w:val="Lienhypertexte"/>
        </w:rPr>
      </w:pPr>
    </w:p>
    <w:p w:rsidR="0003628B" w:rsidRDefault="0003628B" w:rsidP="00A424C2">
      <w:pPr>
        <w:pStyle w:val="Normal2"/>
      </w:pPr>
    </w:p>
    <w:p w:rsidR="00334EC0" w:rsidRPr="00334EC0" w:rsidRDefault="00334EC0" w:rsidP="00A424C2">
      <w:pPr>
        <w:pStyle w:val="Normal2"/>
      </w:pPr>
      <w:r w:rsidRPr="00334EC0">
        <w:t>Le choix du mode de transmission est irréversible. Les candidats doivent appliquer le même mode de transmission à tous les documents transmis au pouvoir adjudicateur.</w:t>
      </w:r>
    </w:p>
    <w:p w:rsidR="00334EC0" w:rsidRPr="00334EC0" w:rsidRDefault="00334EC0" w:rsidP="00A424C2">
      <w:pPr>
        <w:pStyle w:val="Normal2"/>
      </w:pPr>
    </w:p>
    <w:p w:rsidR="00334EC0" w:rsidRPr="00334EC0" w:rsidRDefault="00334EC0" w:rsidP="00A424C2">
      <w:pPr>
        <w:pStyle w:val="Normal2"/>
      </w:pPr>
      <w:r w:rsidRPr="00334EC0">
        <w:t>Par contre, la transmission des plis sur un support physique électronique (CD-ROM, clé USB...) n’est pas autorisée.</w:t>
      </w:r>
    </w:p>
    <w:p w:rsidR="00334EC0" w:rsidRPr="00334EC0" w:rsidRDefault="00334EC0" w:rsidP="00A424C2">
      <w:pPr>
        <w:pStyle w:val="Normal2"/>
      </w:pPr>
    </w:p>
    <w:p w:rsidR="00334EC0" w:rsidRPr="00334EC0" w:rsidRDefault="00334EC0" w:rsidP="00A424C2">
      <w:pPr>
        <w:pStyle w:val="Normal2"/>
      </w:pPr>
      <w:r w:rsidRPr="00334EC0">
        <w:t>Les conditions de présentation des plis électroniques sont similaires à celles exigées pour les réponses sur support papier (fichiers distincts dont l’un comporte les pièces de la candidature et l’autre, les pièces de l’offre, dans le cas d’une seule enveloppe). Chaque transmission fera l’objet d’une date certaine de réception et d’un accusé de réception électronique.</w:t>
      </w:r>
    </w:p>
    <w:p w:rsidR="00334EC0" w:rsidRPr="00334EC0" w:rsidRDefault="00334EC0" w:rsidP="00A424C2">
      <w:pPr>
        <w:pStyle w:val="Normal2"/>
      </w:pPr>
    </w:p>
    <w:p w:rsidR="00334EC0" w:rsidRPr="00334EC0" w:rsidRDefault="00334EC0" w:rsidP="00A424C2">
      <w:pPr>
        <w:pStyle w:val="Normal2"/>
      </w:pPr>
      <w:r w:rsidRPr="00334EC0">
        <w:t>Le fuseau horaire de référence sera celui de (GMT+01:00) Paris, Bruxelles, Copenhague, Madrid.</w:t>
      </w:r>
    </w:p>
    <w:p w:rsidR="00334EC0" w:rsidRPr="00334EC0" w:rsidRDefault="00334EC0" w:rsidP="00A424C2">
      <w:pPr>
        <w:pStyle w:val="Normal2"/>
      </w:pPr>
    </w:p>
    <w:p w:rsidR="00334EC0" w:rsidRPr="00334EC0" w:rsidRDefault="00334EC0" w:rsidP="00A424C2">
      <w:pPr>
        <w:pStyle w:val="Normal2"/>
      </w:pPr>
      <w:r w:rsidRPr="00334EC0">
        <w:t>Le pli peut être doublé d’une copie de sauvegarde transmise dans les délais impartis, sur support physique électronique ou sur support papier. Cette copie est transmise sous pli scellé et comporte obligatoirement la mention « copie de sauvegarde », ainsi que le nom du candidat et l’identification de la procédure concernée.</w:t>
      </w:r>
    </w:p>
    <w:p w:rsidR="00334EC0" w:rsidRPr="00334EC0" w:rsidRDefault="00334EC0" w:rsidP="00A424C2">
      <w:pPr>
        <w:pStyle w:val="Normal2"/>
      </w:pPr>
    </w:p>
    <w:p w:rsidR="00334EC0" w:rsidRPr="00334EC0" w:rsidRDefault="00334EC0" w:rsidP="00A424C2">
      <w:pPr>
        <w:pStyle w:val="Normal2"/>
      </w:pPr>
      <w:r w:rsidRPr="00334EC0">
        <w:t>Aucun format électronique n’est préconisé pour la transmission des documents. Cependant, les fichiers devront être transmis dans des formats largement disponibles.</w:t>
      </w:r>
    </w:p>
    <w:p w:rsidR="00334EC0" w:rsidRPr="00334EC0" w:rsidRDefault="00334EC0" w:rsidP="00A424C2">
      <w:pPr>
        <w:pStyle w:val="Normal2"/>
      </w:pPr>
    </w:p>
    <w:p w:rsidR="00334EC0" w:rsidRPr="00334EC0" w:rsidRDefault="00334EC0" w:rsidP="00A424C2">
      <w:pPr>
        <w:pStyle w:val="Normal2"/>
      </w:pPr>
      <w:r w:rsidRPr="00334EC0">
        <w:t xml:space="preserve">Chaque pièce pour laquelle une signature est exigée doit faire l’objet d’une signature électronique individuelle et conforme au format </w:t>
      </w:r>
      <w:proofErr w:type="spellStart"/>
      <w:r w:rsidRPr="00334EC0">
        <w:t>XAdES</w:t>
      </w:r>
      <w:proofErr w:type="spellEnd"/>
      <w:r w:rsidRPr="00334EC0">
        <w:t xml:space="preserve">, </w:t>
      </w:r>
      <w:proofErr w:type="spellStart"/>
      <w:r w:rsidRPr="00334EC0">
        <w:t>CAdES</w:t>
      </w:r>
      <w:proofErr w:type="spellEnd"/>
      <w:r w:rsidRPr="00334EC0">
        <w:t xml:space="preserve"> ou </w:t>
      </w:r>
      <w:proofErr w:type="spellStart"/>
      <w:r w:rsidRPr="00334EC0">
        <w:t>PAdES</w:t>
      </w:r>
      <w:proofErr w:type="spellEnd"/>
      <w:r w:rsidRPr="00334EC0">
        <w:t>. La seule signature électronique du pli n’emporte pas valeur d’engagement du candidat.</w:t>
      </w:r>
    </w:p>
    <w:p w:rsidR="00334EC0" w:rsidRPr="00334EC0" w:rsidRDefault="00334EC0" w:rsidP="00A424C2">
      <w:pPr>
        <w:pStyle w:val="Normal2"/>
      </w:pPr>
    </w:p>
    <w:p w:rsidR="00334EC0" w:rsidRPr="00334EC0" w:rsidRDefault="00334EC0" w:rsidP="00334EC0">
      <w:pPr>
        <w:pStyle w:val="Normal2"/>
      </w:pPr>
      <w:r w:rsidRPr="00334EC0">
        <w:t>Le niveau de sécurité requis pour le certificat de signature électronique est le Niveau (**) du RGS. Les certificats RGS (Référentiel Général de Sécurité) sont référencés dans une liste de confiance française (</w:t>
      </w:r>
      <w:hyperlink r:id="rId13" w:history="1">
        <w:r w:rsidRPr="00334EC0">
          <w:rPr>
            <w:rStyle w:val="Lienhypertexte"/>
          </w:rPr>
          <w:t>http://references.modernisation.gouv.fr</w:t>
        </w:r>
      </w:hyperlink>
      <w:r w:rsidRPr="00334EC0">
        <w:t>) ou dans une liste de confiance d’un autre Etat-membre de l’Union européenne.</w:t>
      </w:r>
    </w:p>
    <w:p w:rsidR="00334EC0" w:rsidRPr="00334EC0" w:rsidRDefault="00334EC0" w:rsidP="00A424C2">
      <w:pPr>
        <w:pStyle w:val="Normal2"/>
      </w:pPr>
    </w:p>
    <w:p w:rsidR="00334EC0" w:rsidRPr="00334EC0" w:rsidRDefault="00334EC0" w:rsidP="00A424C2">
      <w:pPr>
        <w:pStyle w:val="Normal2"/>
      </w:pPr>
      <w:r w:rsidRPr="00334EC0">
        <w:t>Toutefois, le candidat est libre d’utiliser le certificat de son choix si celui-ci est conforme aux obligations minimales résultant du RGS. Dans ce cas, il doit transmettre tous les éléments nécessaires à la vérification de cette conformité.</w:t>
      </w:r>
    </w:p>
    <w:p w:rsidR="00334EC0" w:rsidRPr="00334EC0" w:rsidRDefault="00334EC0" w:rsidP="00A424C2">
      <w:pPr>
        <w:pStyle w:val="Normal2"/>
      </w:pPr>
    </w:p>
    <w:p w:rsidR="00334EC0" w:rsidRPr="00334EC0" w:rsidRDefault="00334EC0" w:rsidP="00A424C2">
      <w:pPr>
        <w:pStyle w:val="Normal2"/>
      </w:pPr>
      <w:r w:rsidRPr="00334EC0">
        <w:t>Les frais d’accès au réseau et de recours à la signature électronique sont à la charge de chaque candidat.</w:t>
      </w:r>
    </w:p>
    <w:p w:rsidR="00334EC0" w:rsidRPr="00334EC0" w:rsidRDefault="00334EC0" w:rsidP="00A424C2">
      <w:pPr>
        <w:pStyle w:val="Normal2"/>
      </w:pPr>
    </w:p>
    <w:p w:rsidR="00334EC0" w:rsidRPr="00334EC0" w:rsidRDefault="00334EC0">
      <w:pPr>
        <w:pStyle w:val="Normal2"/>
      </w:pPr>
      <w:r w:rsidRPr="00334EC0">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rsidR="00334EC0" w:rsidRPr="00334EC0" w:rsidRDefault="00334EC0">
      <w:pPr>
        <w:pStyle w:val="Titre1"/>
      </w:pPr>
      <w:bookmarkStart w:id="25" w:name="_Toc520903831"/>
      <w:r w:rsidRPr="00334EC0">
        <w:lastRenderedPageBreak/>
        <w:t>Article 7 : Renseignements complémentaires</w:t>
      </w:r>
      <w:bookmarkEnd w:id="25"/>
    </w:p>
    <w:p w:rsidR="00334EC0" w:rsidRPr="00334EC0" w:rsidRDefault="00334EC0">
      <w:pPr>
        <w:pStyle w:val="Titre2"/>
      </w:pPr>
      <w:bookmarkStart w:id="26" w:name="_Toc520903832"/>
      <w:r w:rsidRPr="00334EC0">
        <w:t>7.1 - Demande de renseignements</w:t>
      </w:r>
      <w:bookmarkEnd w:id="26"/>
    </w:p>
    <w:p w:rsidR="00334EC0" w:rsidRPr="00334EC0" w:rsidRDefault="00334EC0" w:rsidP="00A424C2">
      <w:pPr>
        <w:pStyle w:val="Normal2"/>
      </w:pPr>
      <w:r w:rsidRPr="00334EC0">
        <w:t>Pour obtenir tous les renseignements complémentaires qui leur seraient nécessaires au cours de leur étude, les candidats devront faire parvenir une demande écrite à :</w:t>
      </w:r>
    </w:p>
    <w:p w:rsidR="00334EC0" w:rsidRPr="00334EC0" w:rsidRDefault="00334EC0" w:rsidP="00A424C2">
      <w:pPr>
        <w:pStyle w:val="Normal2"/>
      </w:pPr>
    </w:p>
    <w:tbl>
      <w:tblPr>
        <w:tblW w:w="0" w:type="auto"/>
        <w:jc w:val="center"/>
        <w:tblLayout w:type="fixed"/>
        <w:tblCellMar>
          <w:left w:w="70" w:type="dxa"/>
          <w:right w:w="70" w:type="dxa"/>
        </w:tblCellMar>
        <w:tblLook w:val="0000" w:firstRow="0" w:lastRow="0" w:firstColumn="0" w:lastColumn="0" w:noHBand="0" w:noVBand="0"/>
      </w:tblPr>
      <w:tblGrid>
        <w:gridCol w:w="4605"/>
        <w:gridCol w:w="4606"/>
      </w:tblGrid>
      <w:tr w:rsidR="00334EC0" w:rsidRPr="00334EC0" w:rsidTr="00334EC0">
        <w:trPr>
          <w:cantSplit/>
          <w:jc w:val="center"/>
        </w:trPr>
        <w:tc>
          <w:tcPr>
            <w:tcW w:w="4605" w:type="dxa"/>
            <w:shd w:val="clear" w:color="auto" w:fill="auto"/>
          </w:tcPr>
          <w:p w:rsidR="00334EC0" w:rsidRPr="00334EC0" w:rsidRDefault="00334EC0" w:rsidP="00334EC0">
            <w:pPr>
              <w:pStyle w:val="Normal2"/>
              <w:ind w:left="0" w:firstLine="0"/>
              <w:jc w:val="left"/>
              <w:rPr>
                <w:b/>
              </w:rPr>
            </w:pPr>
            <w:r w:rsidRPr="00334EC0">
              <w:rPr>
                <w:b/>
                <w:u w:val="single"/>
              </w:rPr>
              <w:t>Renseignement(s) administratif(s) :</w:t>
            </w:r>
          </w:p>
          <w:p w:rsidR="00334EC0" w:rsidRPr="00334EC0" w:rsidRDefault="00334EC0" w:rsidP="00334EC0">
            <w:pPr>
              <w:pStyle w:val="Normal2"/>
              <w:ind w:left="0" w:firstLine="0"/>
              <w:jc w:val="left"/>
              <w:rPr>
                <w:b/>
              </w:rPr>
            </w:pPr>
            <w:r w:rsidRPr="00334EC0">
              <w:rPr>
                <w:b/>
              </w:rPr>
              <w:t>Syndicat Mixte du Parc naturel régional des Pyrénées catalanes</w:t>
            </w:r>
          </w:p>
          <w:p w:rsidR="00334EC0" w:rsidRPr="00334EC0" w:rsidRDefault="00334EC0" w:rsidP="00334EC0">
            <w:pPr>
              <w:pStyle w:val="Normal2"/>
              <w:ind w:left="0" w:firstLine="0"/>
              <w:jc w:val="left"/>
              <w:rPr>
                <w:b/>
              </w:rPr>
            </w:pPr>
            <w:r w:rsidRPr="00334EC0">
              <w:rPr>
                <w:b/>
              </w:rPr>
              <w:t xml:space="preserve">La Bastide </w:t>
            </w:r>
          </w:p>
          <w:p w:rsidR="00334EC0" w:rsidRPr="00334EC0" w:rsidRDefault="00334EC0" w:rsidP="00334EC0">
            <w:pPr>
              <w:pStyle w:val="Normal2"/>
              <w:ind w:left="0" w:firstLine="0"/>
              <w:jc w:val="left"/>
              <w:rPr>
                <w:b/>
              </w:rPr>
            </w:pPr>
            <w:r w:rsidRPr="00334EC0">
              <w:rPr>
                <w:b/>
              </w:rPr>
              <w:t>66360 OLETTE</w:t>
            </w:r>
          </w:p>
          <w:p w:rsidR="00334EC0" w:rsidRPr="00334EC0" w:rsidRDefault="00334EC0" w:rsidP="00334EC0">
            <w:pPr>
              <w:pStyle w:val="Normal2"/>
              <w:ind w:left="0" w:firstLine="0"/>
              <w:jc w:val="left"/>
              <w:rPr>
                <w:b/>
              </w:rPr>
            </w:pPr>
            <w:r w:rsidRPr="00334EC0">
              <w:rPr>
                <w:b/>
              </w:rPr>
              <w:t>contact@parc-pyrenees-catalanes.fr </w:t>
            </w:r>
          </w:p>
          <w:p w:rsidR="00334EC0" w:rsidRPr="00334EC0" w:rsidRDefault="00334EC0" w:rsidP="00334EC0">
            <w:pPr>
              <w:pStyle w:val="Normal2"/>
              <w:ind w:left="0" w:firstLine="0"/>
              <w:jc w:val="left"/>
              <w:rPr>
                <w:b/>
              </w:rPr>
            </w:pPr>
            <w:r w:rsidRPr="00334EC0">
              <w:rPr>
                <w:b/>
              </w:rPr>
              <w:t xml:space="preserve">Mme Rebecca </w:t>
            </w:r>
            <w:proofErr w:type="spellStart"/>
            <w:r w:rsidRPr="00334EC0">
              <w:rPr>
                <w:b/>
              </w:rPr>
              <w:t>Etievant</w:t>
            </w:r>
            <w:proofErr w:type="spellEnd"/>
          </w:p>
          <w:p w:rsidR="00334EC0" w:rsidRPr="00334EC0" w:rsidRDefault="00334EC0" w:rsidP="00334EC0">
            <w:pPr>
              <w:pStyle w:val="Normal2"/>
              <w:ind w:left="0" w:firstLine="0"/>
              <w:jc w:val="left"/>
              <w:rPr>
                <w:b/>
              </w:rPr>
            </w:pPr>
            <w:r w:rsidRPr="00334EC0">
              <w:rPr>
                <w:b/>
              </w:rPr>
              <w:t>04.68.04.97.60 </w:t>
            </w:r>
          </w:p>
        </w:tc>
        <w:tc>
          <w:tcPr>
            <w:tcW w:w="4606" w:type="dxa"/>
            <w:shd w:val="clear" w:color="auto" w:fill="auto"/>
          </w:tcPr>
          <w:p w:rsidR="00334EC0" w:rsidRPr="00334EC0" w:rsidRDefault="00334EC0" w:rsidP="00334EC0">
            <w:pPr>
              <w:pStyle w:val="Normal2"/>
              <w:ind w:left="0" w:firstLine="0"/>
              <w:jc w:val="left"/>
              <w:rPr>
                <w:b/>
              </w:rPr>
            </w:pPr>
            <w:r w:rsidRPr="00334EC0">
              <w:rPr>
                <w:b/>
                <w:u w:val="single"/>
              </w:rPr>
              <w:t>Renseignement(s) technique(s) :</w:t>
            </w:r>
          </w:p>
          <w:p w:rsidR="00334EC0" w:rsidRPr="00334EC0" w:rsidRDefault="00334EC0" w:rsidP="00334EC0">
            <w:pPr>
              <w:pStyle w:val="Normal2"/>
              <w:ind w:left="0" w:firstLine="0"/>
              <w:jc w:val="left"/>
              <w:rPr>
                <w:b/>
              </w:rPr>
            </w:pPr>
            <w:r w:rsidRPr="00334EC0">
              <w:rPr>
                <w:b/>
              </w:rPr>
              <w:t>Syndicat Mixte du Parc naturel régional des Pyrénées catalanes</w:t>
            </w:r>
          </w:p>
          <w:p w:rsidR="00334EC0" w:rsidRPr="00334EC0" w:rsidRDefault="00334EC0" w:rsidP="00334EC0">
            <w:pPr>
              <w:pStyle w:val="Normal2"/>
              <w:ind w:left="0" w:firstLine="0"/>
              <w:jc w:val="left"/>
              <w:rPr>
                <w:b/>
              </w:rPr>
            </w:pPr>
            <w:r w:rsidRPr="00334EC0">
              <w:rPr>
                <w:b/>
              </w:rPr>
              <w:t xml:space="preserve">La Bastide </w:t>
            </w:r>
          </w:p>
          <w:p w:rsidR="00334EC0" w:rsidRPr="00334EC0" w:rsidRDefault="00334EC0" w:rsidP="00334EC0">
            <w:pPr>
              <w:pStyle w:val="Normal2"/>
              <w:ind w:left="0" w:firstLine="0"/>
              <w:jc w:val="left"/>
              <w:rPr>
                <w:b/>
              </w:rPr>
            </w:pPr>
            <w:r w:rsidRPr="00334EC0">
              <w:rPr>
                <w:b/>
              </w:rPr>
              <w:t>66360 OLETTE</w:t>
            </w:r>
          </w:p>
          <w:p w:rsidR="00334EC0" w:rsidRPr="00334EC0" w:rsidRDefault="00334EC0" w:rsidP="00334EC0">
            <w:pPr>
              <w:pStyle w:val="Normal2"/>
              <w:ind w:left="0" w:firstLine="0"/>
              <w:jc w:val="left"/>
              <w:rPr>
                <w:b/>
              </w:rPr>
            </w:pPr>
            <w:r w:rsidRPr="00334EC0">
              <w:rPr>
                <w:b/>
              </w:rPr>
              <w:t>contact@parc-pyrenees-catalanes.fr </w:t>
            </w:r>
          </w:p>
          <w:p w:rsidR="00334EC0" w:rsidRPr="00334EC0" w:rsidRDefault="00334EC0" w:rsidP="00334EC0">
            <w:pPr>
              <w:pStyle w:val="Normal2"/>
              <w:ind w:left="0" w:firstLine="0"/>
              <w:jc w:val="left"/>
              <w:rPr>
                <w:b/>
              </w:rPr>
            </w:pPr>
            <w:r w:rsidRPr="00334EC0">
              <w:rPr>
                <w:b/>
              </w:rPr>
              <w:t xml:space="preserve">Mme Maud </w:t>
            </w:r>
            <w:proofErr w:type="spellStart"/>
            <w:r w:rsidRPr="00334EC0">
              <w:rPr>
                <w:b/>
              </w:rPr>
              <w:t>Fixy</w:t>
            </w:r>
            <w:proofErr w:type="spellEnd"/>
            <w:r w:rsidRPr="00334EC0">
              <w:rPr>
                <w:b/>
              </w:rPr>
              <w:t xml:space="preserve"> ou Mme Catherine Berchoux </w:t>
            </w:r>
          </w:p>
          <w:p w:rsidR="00334EC0" w:rsidRPr="00334EC0" w:rsidRDefault="00334EC0" w:rsidP="00334EC0">
            <w:pPr>
              <w:pStyle w:val="Normal2"/>
              <w:ind w:left="0" w:firstLine="0"/>
              <w:jc w:val="left"/>
              <w:rPr>
                <w:b/>
              </w:rPr>
            </w:pPr>
            <w:r w:rsidRPr="00334EC0">
              <w:rPr>
                <w:b/>
              </w:rPr>
              <w:t>04 68 04  97 60 </w:t>
            </w:r>
          </w:p>
        </w:tc>
      </w:tr>
    </w:tbl>
    <w:p w:rsidR="00334EC0" w:rsidRPr="00334EC0" w:rsidRDefault="00334EC0" w:rsidP="00A424C2">
      <w:pPr>
        <w:pStyle w:val="Normal2"/>
      </w:pPr>
    </w:p>
    <w:p w:rsidR="00334EC0" w:rsidRPr="00334EC0" w:rsidRDefault="00334EC0" w:rsidP="00A424C2">
      <w:pPr>
        <w:pStyle w:val="Normal2"/>
      </w:pPr>
      <w:r w:rsidRPr="00334EC0">
        <w:t xml:space="preserve">Les candidats pourront également transmettre leur demande par l’intermédiaire du profil d’acheteur du pouvoir adjudicateur, à l’adresse URL suivante : </w:t>
      </w:r>
      <w:r w:rsidR="00D72489" w:rsidRPr="00D72489">
        <w:t>http://urlz.fr/7vZi</w:t>
      </w:r>
    </w:p>
    <w:p w:rsidR="00334EC0" w:rsidRPr="00334EC0" w:rsidRDefault="00334EC0" w:rsidP="00A424C2">
      <w:pPr>
        <w:pStyle w:val="Normal2"/>
      </w:pPr>
    </w:p>
    <w:p w:rsidR="00334EC0" w:rsidRPr="00334EC0" w:rsidRDefault="00334EC0">
      <w:pPr>
        <w:pStyle w:val="Normal2"/>
      </w:pPr>
      <w:r w:rsidRPr="00334EC0">
        <w:t>Une réponse sera alors adressée à toutes les entreprises ayant retiré le dossier ou l’ayant téléchargé après identification, 6 jours au plus tard avant la date limite de réception des offres.</w:t>
      </w:r>
    </w:p>
    <w:p w:rsidR="00334EC0" w:rsidRPr="00334EC0" w:rsidRDefault="00334EC0">
      <w:pPr>
        <w:pStyle w:val="Titre2"/>
      </w:pPr>
      <w:bookmarkStart w:id="27" w:name="_Toc520903833"/>
      <w:r w:rsidRPr="00334EC0">
        <w:t>7.2 - Documents complémentaires</w:t>
      </w:r>
      <w:bookmarkEnd w:id="27"/>
    </w:p>
    <w:p w:rsidR="00334EC0" w:rsidRPr="00334EC0" w:rsidRDefault="00334EC0">
      <w:pPr>
        <w:pStyle w:val="Normal2"/>
      </w:pPr>
      <w:r w:rsidRPr="00334EC0">
        <w:t>Sans objet.</w:t>
      </w:r>
    </w:p>
    <w:p w:rsidR="00334EC0" w:rsidRPr="00334EC0" w:rsidRDefault="00334EC0">
      <w:pPr>
        <w:pStyle w:val="Titre2"/>
      </w:pPr>
      <w:bookmarkStart w:id="28" w:name="_Toc520903834"/>
      <w:r w:rsidRPr="00334EC0">
        <w:t>7.3 - Visites sur sites et/ou consultations sur place</w:t>
      </w:r>
      <w:bookmarkEnd w:id="28"/>
    </w:p>
    <w:p w:rsidR="00334EC0" w:rsidRPr="00334EC0" w:rsidRDefault="00334EC0">
      <w:pPr>
        <w:pStyle w:val="Normal2"/>
      </w:pPr>
      <w:r w:rsidRPr="00334EC0">
        <w:t>Sans objet.</w:t>
      </w:r>
    </w:p>
    <w:p w:rsidR="00334EC0" w:rsidRPr="00334EC0" w:rsidRDefault="00334EC0">
      <w:pPr>
        <w:pStyle w:val="Titre2"/>
      </w:pPr>
      <w:bookmarkStart w:id="29" w:name="_Toc520903835"/>
      <w:r w:rsidRPr="00334EC0">
        <w:t>7.4 - Voies et délais de recours</w:t>
      </w:r>
      <w:bookmarkEnd w:id="29"/>
    </w:p>
    <w:p w:rsidR="00334EC0" w:rsidRPr="00334EC0" w:rsidRDefault="00334EC0" w:rsidP="00A424C2">
      <w:pPr>
        <w:pStyle w:val="Normal2"/>
      </w:pPr>
      <w:r w:rsidRPr="00334EC0">
        <w:t xml:space="preserve">Le tribunal territorialement compétent est : </w:t>
      </w:r>
    </w:p>
    <w:p w:rsidR="00334EC0" w:rsidRPr="00334EC0" w:rsidRDefault="00334EC0" w:rsidP="00A424C2">
      <w:pPr>
        <w:pStyle w:val="Normal2"/>
      </w:pPr>
    </w:p>
    <w:p w:rsidR="00334EC0" w:rsidRPr="00334EC0" w:rsidRDefault="00334EC0" w:rsidP="00A424C2">
      <w:pPr>
        <w:pStyle w:val="Normal2"/>
      </w:pPr>
      <w:r w:rsidRPr="00334EC0">
        <w:t>Tribunal Administratif de Montpellier</w:t>
      </w:r>
    </w:p>
    <w:p w:rsidR="00334EC0" w:rsidRPr="00334EC0" w:rsidRDefault="00334EC0" w:rsidP="00A424C2">
      <w:pPr>
        <w:pStyle w:val="Normal2"/>
      </w:pPr>
      <w:r w:rsidRPr="00334EC0">
        <w:t>6 Rue Pitot</w:t>
      </w:r>
    </w:p>
    <w:p w:rsidR="00334EC0" w:rsidRPr="00334EC0" w:rsidRDefault="00334EC0" w:rsidP="00A424C2">
      <w:pPr>
        <w:pStyle w:val="Normal2"/>
      </w:pPr>
      <w:r w:rsidRPr="00334EC0">
        <w:t>34000 Montpellier </w:t>
      </w:r>
    </w:p>
    <w:p w:rsidR="00334EC0" w:rsidRPr="00334EC0" w:rsidRDefault="00334EC0" w:rsidP="00A424C2">
      <w:pPr>
        <w:pStyle w:val="Normal2"/>
      </w:pPr>
    </w:p>
    <w:p w:rsidR="00334EC0" w:rsidRPr="00334EC0" w:rsidRDefault="00334EC0">
      <w:pPr>
        <w:pStyle w:val="Normal2"/>
      </w:pPr>
      <w:r w:rsidRPr="00334EC0">
        <w:t>Les voies de recours ouvertes aux candidats sont les suivantes : Articles R 421-1 à R 421-7 du Code de justice administrative (2 mois à compter de la notification ou publication de la décision de rejet de l’organisme). Articles L 551-1 et R 551-1 du Code de justice administrative pour le référé précontractuel. Recours de pleine juridiction ouvert aux concurrents évincés (deux mois à compter de la date à laquelle la conclusion du contrat est rendue publique).</w:t>
      </w:r>
    </w:p>
    <w:p w:rsidR="00334EC0" w:rsidRPr="00334EC0" w:rsidRDefault="00334EC0">
      <w:pPr>
        <w:pStyle w:val="Normal1"/>
        <w:sectPr w:rsidR="00334EC0" w:rsidRPr="00334EC0" w:rsidSect="00334EC0">
          <w:headerReference w:type="default" r:id="rId14"/>
          <w:footerReference w:type="default" r:id="rId15"/>
          <w:footerReference w:type="first" r:id="rId16"/>
          <w:pgSz w:w="11907" w:h="16840"/>
          <w:pgMar w:top="1418" w:right="1418" w:bottom="1418" w:left="1418" w:header="851" w:footer="851" w:gutter="0"/>
          <w:pgNumType w:start="1"/>
          <w:cols w:space="720"/>
          <w:titlePg/>
        </w:sectPr>
      </w:pPr>
    </w:p>
    <w:p w:rsidR="00334EC0" w:rsidRPr="00334EC0" w:rsidRDefault="00334EC0">
      <w:pPr>
        <w:pStyle w:val="Normal1"/>
      </w:pPr>
    </w:p>
    <w:sectPr w:rsidR="00334EC0" w:rsidRPr="00334EC0" w:rsidSect="00334EC0">
      <w:headerReference w:type="default" r:id="rId17"/>
      <w:footerReference w:type="default" r:id="rId18"/>
      <w:footerReference w:type="first" r:id="rId19"/>
      <w:type w:val="continuous"/>
      <w:pgSz w:w="11907" w:h="16840"/>
      <w:pgMar w:top="1418" w:right="1418" w:bottom="1418"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89" w:rsidRDefault="00BE0F89">
      <w:r>
        <w:separator/>
      </w:r>
    </w:p>
  </w:endnote>
  <w:endnote w:type="continuationSeparator" w:id="0">
    <w:p w:rsidR="00BE0F89" w:rsidRDefault="00BE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Pieddepage"/>
      <w:rPr>
        <w:rStyle w:val="Numrodepage"/>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4068AB">
      <w:rPr>
        <w:rStyle w:val="Numrodepage"/>
        <w:noProof/>
        <w:snapToGrid w:val="0"/>
      </w:rPr>
      <w:t>8</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4068AB">
      <w:rPr>
        <w:rStyle w:val="Numrodepage"/>
        <w:noProof/>
      </w:rPr>
      <w:t>8</w:t>
    </w:r>
    <w:r>
      <w:rPr>
        <w:rStyle w:val="Numrodepage"/>
      </w:rPr>
      <w:fldChar w:fldCharType="end"/>
    </w:r>
    <w:r>
      <w:rPr>
        <w:rStyle w:val="Numrodepage"/>
      </w:rPr>
      <w:tab/>
    </w:r>
    <w:r>
      <w:rPr>
        <w:rStyle w:val="Numrodepage"/>
        <w:sz w:val="16"/>
      </w:rPr>
      <w:t>R.C.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Pieddepage"/>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4068AB">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4068AB">
      <w:rPr>
        <w:rStyle w:val="Numrodepage"/>
        <w:noProof/>
      </w:rPr>
      <w:t>8</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67D08">
    <w:pPr>
      <w:pStyle w:val="Pieddepage"/>
      <w:rPr>
        <w:rStyle w:val="Numrodepage"/>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A424C2">
      <w:rPr>
        <w:rStyle w:val="Numrodepage"/>
        <w:noProof/>
        <w:snapToGrid w:val="0"/>
      </w:rPr>
      <w:t>4</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0007FA">
      <w:rPr>
        <w:rStyle w:val="Numrodepage"/>
        <w:noProof/>
      </w:rPr>
      <w:t>8</w:t>
    </w:r>
    <w:r>
      <w:rPr>
        <w:rStyle w:val="Numrodepage"/>
      </w:rPr>
      <w:fldChar w:fldCharType="end"/>
    </w:r>
    <w:r>
      <w:rPr>
        <w:rStyle w:val="Numrodepage"/>
      </w:rPr>
      <w:tab/>
    </w:r>
    <w:r>
      <w:rPr>
        <w:rStyle w:val="Numrodepage"/>
        <w:sz w:val="16"/>
      </w:rPr>
      <w:t>R.C.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67D08">
    <w:pPr>
      <w:pStyle w:val="Pieddepage"/>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334EC0">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0007FA">
      <w:rPr>
        <w:rStyle w:val="Numrodepage"/>
        <w:noProof/>
      </w:rPr>
      <w:t>8</w:t>
    </w:r>
    <w:r>
      <w:rPr>
        <w:rStyle w:val="Numrodepage"/>
      </w:rPr>
      <w:fldChar w:fldCharType="end"/>
    </w:r>
    <w:r>
      <w:rPr>
        <w:rStyle w:val="Numrodepage"/>
      </w:rPr>
      <w:tab/>
    </w:r>
    <w:r w:rsidR="00A424C2">
      <w:rPr>
        <w:rStyle w:val="Numrodepage"/>
        <w:noProof/>
        <w:sz w:val="16"/>
      </w:rPr>
      <w:t>«TMPNOMRED»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89" w:rsidRDefault="00BE0F89">
      <w:r>
        <w:separator/>
      </w:r>
    </w:p>
  </w:footnote>
  <w:footnote w:type="continuationSeparator" w:id="0">
    <w:p w:rsidR="00BE0F89" w:rsidRDefault="00BE0F89">
      <w:r>
        <w:continuationSeparator/>
      </w:r>
    </w:p>
  </w:footnote>
  <w:footnote w:id="1">
    <w:p w:rsidR="00551D52" w:rsidRDefault="00551D52">
      <w:pPr>
        <w:pStyle w:val="Notedebasdepage"/>
      </w:pPr>
      <w:r>
        <w:rPr>
          <w:rStyle w:val="Appelnotedebasdep"/>
        </w:rPr>
        <w:footnoteRef/>
      </w:r>
      <w:r>
        <w:t xml:space="preserve"> AMI : Appel à manifestation d’</w:t>
      </w:r>
      <w:proofErr w:type="spellStart"/>
      <w:r>
        <w:t>interet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En-tte"/>
      <w:jc w:val="center"/>
      <w:rPr>
        <w:b/>
        <w:i/>
        <w:sz w:val="16"/>
      </w:rPr>
    </w:pPr>
    <w:r w:rsidRPr="00C139A4">
      <w:rPr>
        <w:b/>
        <w:i/>
        <w:noProof/>
        <w:sz w:val="16"/>
      </w:rPr>
      <w:t>MISSION DE SUIVI  ANIMATION D'UNE OPERATION PROGRAMMEE D'AMELIORATION DE L'OFFRE D'HEBERGEMENT TOURISTIQUE DANS LES PYRENEES CATALANES</w:t>
    </w:r>
    <w:r w:rsidR="00551D52">
      <w:rPr>
        <w:b/>
        <w:i/>
        <w:noProof/>
        <w:sz w:val="16"/>
      </w:rPr>
      <w:t>( AMI TOURISME)</w:t>
    </w:r>
  </w:p>
  <w:p w:rsidR="00334EC0" w:rsidRDefault="00334EC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424C2">
    <w:pPr>
      <w:pStyle w:val="En-tte"/>
      <w:jc w:val="center"/>
      <w:rPr>
        <w:b/>
        <w:i/>
        <w:sz w:val="16"/>
      </w:rPr>
    </w:pPr>
    <w:r>
      <w:rPr>
        <w:b/>
        <w:i/>
        <w:noProof/>
        <w:sz w:val="16"/>
      </w:rPr>
      <w:t>«TMPAFCLIB»</w:t>
    </w:r>
  </w:p>
  <w:p w:rsidR="00A67D08" w:rsidRDefault="00A67D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A3A42"/>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 w15:restartNumberingAfterBreak="0">
    <w:nsid w:val="14C875A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4218490F"/>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43C47F20"/>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5" w15:restartNumberingAfterBreak="0">
    <w:nsid w:val="768B145B"/>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717"/>
    <w:rsid w:val="000007FA"/>
    <w:rsid w:val="0003628B"/>
    <w:rsid w:val="00334EC0"/>
    <w:rsid w:val="0039745E"/>
    <w:rsid w:val="004068AB"/>
    <w:rsid w:val="00500B99"/>
    <w:rsid w:val="00514217"/>
    <w:rsid w:val="00551D52"/>
    <w:rsid w:val="005732F3"/>
    <w:rsid w:val="007C296B"/>
    <w:rsid w:val="00806A48"/>
    <w:rsid w:val="00824717"/>
    <w:rsid w:val="008E515B"/>
    <w:rsid w:val="009A30C1"/>
    <w:rsid w:val="009B1833"/>
    <w:rsid w:val="009B1AF6"/>
    <w:rsid w:val="00A424C2"/>
    <w:rsid w:val="00A67D08"/>
    <w:rsid w:val="00AA111E"/>
    <w:rsid w:val="00B05B2F"/>
    <w:rsid w:val="00B1443C"/>
    <w:rsid w:val="00BE0F89"/>
    <w:rsid w:val="00D63C3E"/>
    <w:rsid w:val="00D72489"/>
    <w:rsid w:val="00FB7D07"/>
    <w:rsid w:val="00FD5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F7F0143-B958-490D-B4DE-8CC57A90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Titre1">
    <w:name w:val="heading 1"/>
    <w:basedOn w:val="Normal"/>
    <w:next w:val="Normal"/>
    <w:qFormat/>
    <w:pPr>
      <w:keepNext/>
      <w:spacing w:before="240" w:after="60"/>
      <w:outlineLvl w:val="0"/>
    </w:pPr>
    <w:rPr>
      <w:b/>
      <w:kern w:val="28"/>
      <w:sz w:val="26"/>
    </w:rPr>
  </w:style>
  <w:style w:type="paragraph" w:styleId="Titre2">
    <w:name w:val="heading 2"/>
    <w:basedOn w:val="Normal"/>
    <w:next w:val="Normal"/>
    <w:qFormat/>
    <w:pPr>
      <w:keepNext/>
      <w:spacing w:before="240" w:after="60"/>
      <w:ind w:left="284"/>
      <w:outlineLvl w:val="1"/>
    </w:pPr>
    <w:rPr>
      <w:i/>
      <w:sz w:val="24"/>
      <w:u w:val="single"/>
    </w:rPr>
  </w:style>
  <w:style w:type="paragraph" w:styleId="Titre3">
    <w:name w:val="heading 3"/>
    <w:basedOn w:val="Normal"/>
    <w:next w:val="Normal"/>
    <w:qFormat/>
    <w:pPr>
      <w:keepNext/>
      <w:spacing w:before="240" w:after="60"/>
      <w:ind w:left="567"/>
      <w:outlineLvl w:val="2"/>
    </w:pPr>
    <w:rPr>
      <w:u w:val="single"/>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spacing w:before="240" w:after="60"/>
      <w:outlineLvl w:val="4"/>
    </w:pPr>
    <w:rPr>
      <w:rFonts w:ascii="Arial" w:hAnsi="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pPr>
      <w:tabs>
        <w:tab w:val="right" w:pos="9071"/>
      </w:tabs>
      <w:spacing w:before="200" w:after="200"/>
    </w:pPr>
    <w:rPr>
      <w:b/>
      <w:caps/>
      <w:u w:val="single"/>
    </w:rPr>
  </w:style>
  <w:style w:type="paragraph" w:styleId="Pieddepage">
    <w:name w:val="footer"/>
    <w:basedOn w:val="Normal"/>
    <w:pPr>
      <w:tabs>
        <w:tab w:val="center" w:pos="4536"/>
        <w:tab w:val="right" w:pos="9072"/>
      </w:tabs>
    </w:pPr>
  </w:style>
  <w:style w:type="paragraph" w:styleId="TM2">
    <w:name w:val="toc 2"/>
    <w:basedOn w:val="Normal"/>
    <w:next w:val="Normal"/>
    <w:uiPriority w:val="39"/>
    <w:pPr>
      <w:tabs>
        <w:tab w:val="right" w:pos="9072"/>
      </w:tabs>
    </w:pPr>
    <w:rPr>
      <w:b/>
      <w:smallCaps/>
    </w:rPr>
  </w:style>
  <w:style w:type="paragraph" w:styleId="En-tte">
    <w:name w:val="header"/>
    <w:basedOn w:val="Normal"/>
    <w:pPr>
      <w:tabs>
        <w:tab w:val="center" w:pos="4536"/>
        <w:tab w:val="right" w:pos="9072"/>
      </w:tabs>
    </w:pPr>
  </w:style>
  <w:style w:type="paragraph" w:styleId="TM3">
    <w:name w:val="toc 3"/>
    <w:basedOn w:val="Normal"/>
    <w:next w:val="Normal"/>
    <w:semiHidden/>
    <w:pPr>
      <w:tabs>
        <w:tab w:val="right" w:pos="9071"/>
      </w:tabs>
    </w:pPr>
    <w:rPr>
      <w:smallCaps/>
    </w:rPr>
  </w:style>
  <w:style w:type="paragraph" w:styleId="TM4">
    <w:name w:val="toc 4"/>
    <w:basedOn w:val="Normal"/>
    <w:next w:val="Normal"/>
    <w:semiHidden/>
    <w:pPr>
      <w:tabs>
        <w:tab w:val="right" w:pos="9071"/>
      </w:tabs>
    </w:pPr>
  </w:style>
  <w:style w:type="paragraph" w:styleId="TM5">
    <w:name w:val="toc 5"/>
    <w:basedOn w:val="Normal"/>
    <w:next w:val="Normal"/>
    <w:semiHidden/>
    <w:pPr>
      <w:tabs>
        <w:tab w:val="right" w:pos="9071"/>
      </w:tabs>
    </w:pPr>
  </w:style>
  <w:style w:type="paragraph" w:styleId="TM6">
    <w:name w:val="toc 6"/>
    <w:basedOn w:val="Normal"/>
    <w:next w:val="Normal"/>
    <w:semiHidden/>
    <w:pPr>
      <w:tabs>
        <w:tab w:val="right" w:pos="9071"/>
      </w:tabs>
    </w:pPr>
  </w:style>
  <w:style w:type="paragraph" w:styleId="TM7">
    <w:name w:val="toc 7"/>
    <w:basedOn w:val="Normal"/>
    <w:next w:val="Normal"/>
    <w:semiHidden/>
    <w:pPr>
      <w:tabs>
        <w:tab w:val="right" w:pos="9071"/>
      </w:tabs>
    </w:pPr>
  </w:style>
  <w:style w:type="paragraph" w:styleId="TM8">
    <w:name w:val="toc 8"/>
    <w:basedOn w:val="Normal"/>
    <w:next w:val="Normal"/>
    <w:semiHidden/>
    <w:pPr>
      <w:tabs>
        <w:tab w:val="right" w:pos="9071"/>
      </w:tabs>
    </w:pPr>
  </w:style>
  <w:style w:type="paragraph" w:styleId="TM9">
    <w:name w:val="toc 9"/>
    <w:basedOn w:val="Normal"/>
    <w:next w:val="Normal"/>
    <w:semiHidden/>
    <w:pPr>
      <w:tabs>
        <w:tab w:val="right" w:pos="9071"/>
      </w:tabs>
    </w:pPr>
  </w:style>
  <w:style w:type="paragraph" w:styleId="Commentaire">
    <w:name w:val="annotation text"/>
    <w:basedOn w:val="Normal"/>
    <w:semiHidden/>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ind w:left="851"/>
      <w:outlineLvl w:val="9"/>
    </w:pPr>
  </w:style>
  <w:style w:type="character" w:styleId="Numrodepage">
    <w:name w:val="page number"/>
    <w:basedOn w:val="Policepardfaut"/>
  </w:style>
  <w:style w:type="paragraph" w:customStyle="1" w:styleId="Erreur">
    <w:name w:val="Erreur"/>
    <w:basedOn w:val="Normal"/>
    <w:pPr>
      <w:jc w:val="center"/>
    </w:pPr>
    <w:rPr>
      <w:i/>
      <w:sz w:val="20"/>
    </w:rPr>
  </w:style>
  <w:style w:type="character" w:styleId="Appelnotedebasdep">
    <w:name w:val="footnote reference"/>
    <w:basedOn w:val="Policepardfaut"/>
    <w:semiHidden/>
    <w:rPr>
      <w:vertAlign w:val="superscript"/>
    </w:rPr>
  </w:style>
  <w:style w:type="paragraph" w:styleId="Notedebasdepage">
    <w:name w:val="footnote text"/>
    <w:basedOn w:val="Normal"/>
    <w:semiHidden/>
    <w:rPr>
      <w:sz w:val="16"/>
    </w:rPr>
  </w:style>
  <w:style w:type="paragraph" w:styleId="Signature">
    <w:name w:val="Signature"/>
    <w:basedOn w:val="Normal"/>
    <w:pPr>
      <w:ind w:left="4252"/>
    </w:pPr>
  </w:style>
  <w:style w:type="paragraph" w:customStyle="1" w:styleId="Tabulation-Point2">
    <w:name w:val="Tabulation - Point 2"/>
    <w:basedOn w:val="Normal"/>
    <w:pPr>
      <w:tabs>
        <w:tab w:val="left" w:leader="dot" w:pos="9072"/>
      </w:tabs>
    </w:pPr>
  </w:style>
  <w:style w:type="paragraph" w:customStyle="1" w:styleId="Tabulation-Points">
    <w:name w:val="Tabulation - Points"/>
    <w:basedOn w:val="Normal"/>
    <w:pPr>
      <w:tabs>
        <w:tab w:val="left" w:leader="dot" w:pos="9072"/>
      </w:tabs>
      <w:ind w:left="284"/>
    </w:pPr>
  </w:style>
  <w:style w:type="paragraph" w:customStyle="1" w:styleId="Tabulation-Points2">
    <w:name w:val="Tabulation - Points 2"/>
    <w:basedOn w:val="Tabulation-Point2"/>
  </w:style>
  <w:style w:type="paragraph" w:styleId="Titre">
    <w:name w:val="Title"/>
    <w:basedOn w:val="Normal"/>
    <w:qFormat/>
    <w:pPr>
      <w:jc w:val="center"/>
    </w:pPr>
    <w:rPr>
      <w:b/>
      <w:sz w:val="26"/>
    </w:rPr>
  </w:style>
  <w:style w:type="paragraph" w:customStyle="1" w:styleId="AdressePageDeGarde">
    <w:name w:val="AdressePageDeGarde"/>
    <w:basedOn w:val="Normal"/>
    <w:rsid w:val="00A424C2"/>
    <w:pPr>
      <w:jc w:val="center"/>
    </w:pPr>
    <w:rPr>
      <w:b/>
    </w:rPr>
  </w:style>
  <w:style w:type="character" w:styleId="Lienhypertexte">
    <w:name w:val="Hyperlink"/>
    <w:basedOn w:val="Policepardfaut"/>
    <w:uiPriority w:val="99"/>
    <w:rsid w:val="00334EC0"/>
    <w:rPr>
      <w:color w:val="0000FF"/>
      <w:u w:val="single"/>
    </w:rPr>
  </w:style>
  <w:style w:type="paragraph" w:customStyle="1" w:styleId="texte1">
    <w:name w:val="texte1"/>
    <w:basedOn w:val="Normal"/>
    <w:rsid w:val="00B05B2F"/>
    <w:pPr>
      <w:widowControl w:val="0"/>
      <w:tabs>
        <w:tab w:val="left" w:pos="-1094"/>
        <w:tab w:val="left" w:pos="-720"/>
      </w:tabs>
      <w:snapToGrid w:val="0"/>
      <w:spacing w:after="240" w:line="276" w:lineRule="auto"/>
      <w:jc w:val="both"/>
    </w:pPr>
    <w:rPr>
      <w:rFonts w:ascii="Cambria" w:hAnsi="Cambria"/>
      <w:szCs w:val="22"/>
    </w:rPr>
  </w:style>
  <w:style w:type="character" w:styleId="Lienhypertextesuivivisit">
    <w:name w:val="FollowedHyperlink"/>
    <w:basedOn w:val="Policepardfaut"/>
    <w:semiHidden/>
    <w:unhideWhenUsed/>
    <w:rsid w:val="00406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eferences.modernisation.gouv.f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6.re/InxF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chesonline.achatpublic.com/sdm/ent/gen/ent_detail.do?PCSLID=CSL_2018_wro-cCmEm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rc-pyrenees-catalanes.fr/informations-pratiques/marches-public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008A-E154-448D-A645-60886FA1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2763</Words>
  <Characters>15198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Service Développement</Company>
  <LinksUpToDate>false</LinksUpToDate>
  <CharactersWithSpaces>17926</CharactersWithSpaces>
  <SharedDoc>false</SharedDoc>
  <HLinks>
    <vt:vector size="156" baseType="variant">
      <vt:variant>
        <vt:i4>1704006</vt:i4>
      </vt:variant>
      <vt:variant>
        <vt:i4>153</vt:i4>
      </vt:variant>
      <vt:variant>
        <vt:i4>0</vt:i4>
      </vt:variant>
      <vt:variant>
        <vt:i4>5</vt:i4>
      </vt:variant>
      <vt:variant>
        <vt:lpwstr>http://references.modernisation.gouv.fr/</vt:lpwstr>
      </vt:variant>
      <vt:variant>
        <vt:lpwstr/>
      </vt:variant>
      <vt:variant>
        <vt:i4>1835069</vt:i4>
      </vt:variant>
      <vt:variant>
        <vt:i4>146</vt:i4>
      </vt:variant>
      <vt:variant>
        <vt:i4>0</vt:i4>
      </vt:variant>
      <vt:variant>
        <vt:i4>5</vt:i4>
      </vt:variant>
      <vt:variant>
        <vt:lpwstr/>
      </vt:variant>
      <vt:variant>
        <vt:lpwstr>_Toc520903835</vt:lpwstr>
      </vt:variant>
      <vt:variant>
        <vt:i4>1835069</vt:i4>
      </vt:variant>
      <vt:variant>
        <vt:i4>140</vt:i4>
      </vt:variant>
      <vt:variant>
        <vt:i4>0</vt:i4>
      </vt:variant>
      <vt:variant>
        <vt:i4>5</vt:i4>
      </vt:variant>
      <vt:variant>
        <vt:lpwstr/>
      </vt:variant>
      <vt:variant>
        <vt:lpwstr>_Toc520903834</vt:lpwstr>
      </vt:variant>
      <vt:variant>
        <vt:i4>1835069</vt:i4>
      </vt:variant>
      <vt:variant>
        <vt:i4>134</vt:i4>
      </vt:variant>
      <vt:variant>
        <vt:i4>0</vt:i4>
      </vt:variant>
      <vt:variant>
        <vt:i4>5</vt:i4>
      </vt:variant>
      <vt:variant>
        <vt:lpwstr/>
      </vt:variant>
      <vt:variant>
        <vt:lpwstr>_Toc520903833</vt:lpwstr>
      </vt:variant>
      <vt:variant>
        <vt:i4>1835069</vt:i4>
      </vt:variant>
      <vt:variant>
        <vt:i4>128</vt:i4>
      </vt:variant>
      <vt:variant>
        <vt:i4>0</vt:i4>
      </vt:variant>
      <vt:variant>
        <vt:i4>5</vt:i4>
      </vt:variant>
      <vt:variant>
        <vt:lpwstr/>
      </vt:variant>
      <vt:variant>
        <vt:lpwstr>_Toc520903832</vt:lpwstr>
      </vt:variant>
      <vt:variant>
        <vt:i4>1835069</vt:i4>
      </vt:variant>
      <vt:variant>
        <vt:i4>122</vt:i4>
      </vt:variant>
      <vt:variant>
        <vt:i4>0</vt:i4>
      </vt:variant>
      <vt:variant>
        <vt:i4>5</vt:i4>
      </vt:variant>
      <vt:variant>
        <vt:lpwstr/>
      </vt:variant>
      <vt:variant>
        <vt:lpwstr>_Toc520903831</vt:lpwstr>
      </vt:variant>
      <vt:variant>
        <vt:i4>1835069</vt:i4>
      </vt:variant>
      <vt:variant>
        <vt:i4>116</vt:i4>
      </vt:variant>
      <vt:variant>
        <vt:i4>0</vt:i4>
      </vt:variant>
      <vt:variant>
        <vt:i4>5</vt:i4>
      </vt:variant>
      <vt:variant>
        <vt:lpwstr/>
      </vt:variant>
      <vt:variant>
        <vt:lpwstr>_Toc520903830</vt:lpwstr>
      </vt:variant>
      <vt:variant>
        <vt:i4>1900605</vt:i4>
      </vt:variant>
      <vt:variant>
        <vt:i4>110</vt:i4>
      </vt:variant>
      <vt:variant>
        <vt:i4>0</vt:i4>
      </vt:variant>
      <vt:variant>
        <vt:i4>5</vt:i4>
      </vt:variant>
      <vt:variant>
        <vt:lpwstr/>
      </vt:variant>
      <vt:variant>
        <vt:lpwstr>_Toc520903829</vt:lpwstr>
      </vt:variant>
      <vt:variant>
        <vt:i4>1900605</vt:i4>
      </vt:variant>
      <vt:variant>
        <vt:i4>104</vt:i4>
      </vt:variant>
      <vt:variant>
        <vt:i4>0</vt:i4>
      </vt:variant>
      <vt:variant>
        <vt:i4>5</vt:i4>
      </vt:variant>
      <vt:variant>
        <vt:lpwstr/>
      </vt:variant>
      <vt:variant>
        <vt:lpwstr>_Toc520903828</vt:lpwstr>
      </vt:variant>
      <vt:variant>
        <vt:i4>1900605</vt:i4>
      </vt:variant>
      <vt:variant>
        <vt:i4>98</vt:i4>
      </vt:variant>
      <vt:variant>
        <vt:i4>0</vt:i4>
      </vt:variant>
      <vt:variant>
        <vt:i4>5</vt:i4>
      </vt:variant>
      <vt:variant>
        <vt:lpwstr/>
      </vt:variant>
      <vt:variant>
        <vt:lpwstr>_Toc520903827</vt:lpwstr>
      </vt:variant>
      <vt:variant>
        <vt:i4>1900605</vt:i4>
      </vt:variant>
      <vt:variant>
        <vt:i4>92</vt:i4>
      </vt:variant>
      <vt:variant>
        <vt:i4>0</vt:i4>
      </vt:variant>
      <vt:variant>
        <vt:i4>5</vt:i4>
      </vt:variant>
      <vt:variant>
        <vt:lpwstr/>
      </vt:variant>
      <vt:variant>
        <vt:lpwstr>_Toc520903826</vt:lpwstr>
      </vt:variant>
      <vt:variant>
        <vt:i4>1900605</vt:i4>
      </vt:variant>
      <vt:variant>
        <vt:i4>86</vt:i4>
      </vt:variant>
      <vt:variant>
        <vt:i4>0</vt:i4>
      </vt:variant>
      <vt:variant>
        <vt:i4>5</vt:i4>
      </vt:variant>
      <vt:variant>
        <vt:lpwstr/>
      </vt:variant>
      <vt:variant>
        <vt:lpwstr>_Toc520903825</vt:lpwstr>
      </vt:variant>
      <vt:variant>
        <vt:i4>1900605</vt:i4>
      </vt:variant>
      <vt:variant>
        <vt:i4>80</vt:i4>
      </vt:variant>
      <vt:variant>
        <vt:i4>0</vt:i4>
      </vt:variant>
      <vt:variant>
        <vt:i4>5</vt:i4>
      </vt:variant>
      <vt:variant>
        <vt:lpwstr/>
      </vt:variant>
      <vt:variant>
        <vt:lpwstr>_Toc520903824</vt:lpwstr>
      </vt:variant>
      <vt:variant>
        <vt:i4>1900605</vt:i4>
      </vt:variant>
      <vt:variant>
        <vt:i4>74</vt:i4>
      </vt:variant>
      <vt:variant>
        <vt:i4>0</vt:i4>
      </vt:variant>
      <vt:variant>
        <vt:i4>5</vt:i4>
      </vt:variant>
      <vt:variant>
        <vt:lpwstr/>
      </vt:variant>
      <vt:variant>
        <vt:lpwstr>_Toc520903823</vt:lpwstr>
      </vt:variant>
      <vt:variant>
        <vt:i4>1900605</vt:i4>
      </vt:variant>
      <vt:variant>
        <vt:i4>68</vt:i4>
      </vt:variant>
      <vt:variant>
        <vt:i4>0</vt:i4>
      </vt:variant>
      <vt:variant>
        <vt:i4>5</vt:i4>
      </vt:variant>
      <vt:variant>
        <vt:lpwstr/>
      </vt:variant>
      <vt:variant>
        <vt:lpwstr>_Toc520903822</vt:lpwstr>
      </vt:variant>
      <vt:variant>
        <vt:i4>1900605</vt:i4>
      </vt:variant>
      <vt:variant>
        <vt:i4>62</vt:i4>
      </vt:variant>
      <vt:variant>
        <vt:i4>0</vt:i4>
      </vt:variant>
      <vt:variant>
        <vt:i4>5</vt:i4>
      </vt:variant>
      <vt:variant>
        <vt:lpwstr/>
      </vt:variant>
      <vt:variant>
        <vt:lpwstr>_Toc520903821</vt:lpwstr>
      </vt:variant>
      <vt:variant>
        <vt:i4>1900605</vt:i4>
      </vt:variant>
      <vt:variant>
        <vt:i4>56</vt:i4>
      </vt:variant>
      <vt:variant>
        <vt:i4>0</vt:i4>
      </vt:variant>
      <vt:variant>
        <vt:i4>5</vt:i4>
      </vt:variant>
      <vt:variant>
        <vt:lpwstr/>
      </vt:variant>
      <vt:variant>
        <vt:lpwstr>_Toc520903820</vt:lpwstr>
      </vt:variant>
      <vt:variant>
        <vt:i4>1966141</vt:i4>
      </vt:variant>
      <vt:variant>
        <vt:i4>50</vt:i4>
      </vt:variant>
      <vt:variant>
        <vt:i4>0</vt:i4>
      </vt:variant>
      <vt:variant>
        <vt:i4>5</vt:i4>
      </vt:variant>
      <vt:variant>
        <vt:lpwstr/>
      </vt:variant>
      <vt:variant>
        <vt:lpwstr>_Toc520903819</vt:lpwstr>
      </vt:variant>
      <vt:variant>
        <vt:i4>1966141</vt:i4>
      </vt:variant>
      <vt:variant>
        <vt:i4>44</vt:i4>
      </vt:variant>
      <vt:variant>
        <vt:i4>0</vt:i4>
      </vt:variant>
      <vt:variant>
        <vt:i4>5</vt:i4>
      </vt:variant>
      <vt:variant>
        <vt:lpwstr/>
      </vt:variant>
      <vt:variant>
        <vt:lpwstr>_Toc520903818</vt:lpwstr>
      </vt:variant>
      <vt:variant>
        <vt:i4>1966141</vt:i4>
      </vt:variant>
      <vt:variant>
        <vt:i4>38</vt:i4>
      </vt:variant>
      <vt:variant>
        <vt:i4>0</vt:i4>
      </vt:variant>
      <vt:variant>
        <vt:i4>5</vt:i4>
      </vt:variant>
      <vt:variant>
        <vt:lpwstr/>
      </vt:variant>
      <vt:variant>
        <vt:lpwstr>_Toc520903817</vt:lpwstr>
      </vt:variant>
      <vt:variant>
        <vt:i4>1966141</vt:i4>
      </vt:variant>
      <vt:variant>
        <vt:i4>32</vt:i4>
      </vt:variant>
      <vt:variant>
        <vt:i4>0</vt:i4>
      </vt:variant>
      <vt:variant>
        <vt:i4>5</vt:i4>
      </vt:variant>
      <vt:variant>
        <vt:lpwstr/>
      </vt:variant>
      <vt:variant>
        <vt:lpwstr>_Toc520903816</vt:lpwstr>
      </vt:variant>
      <vt:variant>
        <vt:i4>1966141</vt:i4>
      </vt:variant>
      <vt:variant>
        <vt:i4>26</vt:i4>
      </vt:variant>
      <vt:variant>
        <vt:i4>0</vt:i4>
      </vt:variant>
      <vt:variant>
        <vt:i4>5</vt:i4>
      </vt:variant>
      <vt:variant>
        <vt:lpwstr/>
      </vt:variant>
      <vt:variant>
        <vt:lpwstr>_Toc520903815</vt:lpwstr>
      </vt:variant>
      <vt:variant>
        <vt:i4>1966141</vt:i4>
      </vt:variant>
      <vt:variant>
        <vt:i4>20</vt:i4>
      </vt:variant>
      <vt:variant>
        <vt:i4>0</vt:i4>
      </vt:variant>
      <vt:variant>
        <vt:i4>5</vt:i4>
      </vt:variant>
      <vt:variant>
        <vt:lpwstr/>
      </vt:variant>
      <vt:variant>
        <vt:lpwstr>_Toc520903814</vt:lpwstr>
      </vt:variant>
      <vt:variant>
        <vt:i4>1966141</vt:i4>
      </vt:variant>
      <vt:variant>
        <vt:i4>14</vt:i4>
      </vt:variant>
      <vt:variant>
        <vt:i4>0</vt:i4>
      </vt:variant>
      <vt:variant>
        <vt:i4>5</vt:i4>
      </vt:variant>
      <vt:variant>
        <vt:lpwstr/>
      </vt:variant>
      <vt:variant>
        <vt:lpwstr>_Toc520903813</vt:lpwstr>
      </vt:variant>
      <vt:variant>
        <vt:i4>1966141</vt:i4>
      </vt:variant>
      <vt:variant>
        <vt:i4>8</vt:i4>
      </vt:variant>
      <vt:variant>
        <vt:i4>0</vt:i4>
      </vt:variant>
      <vt:variant>
        <vt:i4>5</vt:i4>
      </vt:variant>
      <vt:variant>
        <vt:lpwstr/>
      </vt:variant>
      <vt:variant>
        <vt:lpwstr>_Toc520903812</vt:lpwstr>
      </vt:variant>
      <vt:variant>
        <vt:i4>1966141</vt:i4>
      </vt:variant>
      <vt:variant>
        <vt:i4>2</vt:i4>
      </vt:variant>
      <vt:variant>
        <vt:i4>0</vt:i4>
      </vt:variant>
      <vt:variant>
        <vt:i4>5</vt:i4>
      </vt:variant>
      <vt:variant>
        <vt:lpwstr/>
      </vt:variant>
      <vt:variant>
        <vt:lpwstr>_Toc520903811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creator>AGYSOFT</dc:creator>
  <cp:lastModifiedBy>RAF_02</cp:lastModifiedBy>
  <cp:revision>16</cp:revision>
  <cp:lastPrinted>1998-05-26T12:43:00Z</cp:lastPrinted>
  <dcterms:created xsi:type="dcterms:W3CDTF">2018-08-01T14:23:00Z</dcterms:created>
  <dcterms:modified xsi:type="dcterms:W3CDTF">2018-09-14T10:55:00Z</dcterms:modified>
</cp:coreProperties>
</file>