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36" w:rsidRPr="00C01623" w:rsidRDefault="009A3D36" w:rsidP="009A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 w:rsidRPr="00C01623">
        <w:rPr>
          <w:rFonts w:ascii="Century Gothic" w:hAnsi="Century Gothic"/>
          <w:b/>
          <w:bCs/>
          <w:highlight w:val="lightGray"/>
        </w:rPr>
        <w:t xml:space="preserve">REGLEMENT DE LA CONSULTATION </w:t>
      </w:r>
      <w:r w:rsidRPr="00C01623">
        <w:rPr>
          <w:rFonts w:ascii="Century Gothic" w:hAnsi="Century Gothic"/>
          <w:b/>
          <w:bCs/>
        </w:rPr>
        <w:t xml:space="preserve"> </w:t>
      </w:r>
    </w:p>
    <w:p w:rsidR="009A3D36" w:rsidRPr="00C01623" w:rsidRDefault="009A3D36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  <w:b/>
          <w:bCs/>
          <w:u w:val="single"/>
        </w:rPr>
        <w:t xml:space="preserve">Service acheteur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Syndicat </w:t>
      </w:r>
      <w:r w:rsidR="00C01623" w:rsidRPr="00C01623">
        <w:rPr>
          <w:rFonts w:ascii="Century Gothic" w:hAnsi="Century Gothic"/>
        </w:rPr>
        <w:t xml:space="preserve">mixte du Parc Naturel Régional des Pyrénées Catalanes </w:t>
      </w:r>
      <w:proofErr w:type="gramStart"/>
      <w:r w:rsidR="00C01623" w:rsidRPr="00C01623">
        <w:rPr>
          <w:rFonts w:ascii="Century Gothic" w:hAnsi="Century Gothic"/>
        </w:rPr>
        <w:t>( PNRPC</w:t>
      </w:r>
      <w:proofErr w:type="gramEnd"/>
      <w:r w:rsidR="00C01623" w:rsidRPr="00C01623">
        <w:rPr>
          <w:rFonts w:ascii="Century Gothic" w:hAnsi="Century Gothic"/>
        </w:rPr>
        <w:t>) – La Bastide 66360 Olette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Personne responsable du marché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C01623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</w:rPr>
        <w:t>Mme la Présidente du PNRPC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 xml:space="preserve">Date d’engagement de la consultation : </w:t>
      </w:r>
    </w:p>
    <w:p w:rsidR="009A3D36" w:rsidRPr="00C01623" w:rsidRDefault="009A3D36" w:rsidP="009A3D36">
      <w:pPr>
        <w:rPr>
          <w:rFonts w:ascii="Century Gothic" w:hAnsi="Century Gothic"/>
          <w:b/>
          <w:bCs/>
          <w:u w:val="single"/>
        </w:rPr>
      </w:pPr>
    </w:p>
    <w:p w:rsidR="009A3D36" w:rsidRPr="00C01623" w:rsidRDefault="009A3D36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  <w:b/>
          <w:bCs/>
          <w:u w:val="single"/>
        </w:rPr>
        <w:t xml:space="preserve">Objet de la consultation : </w:t>
      </w:r>
    </w:p>
    <w:p w:rsidR="00C01623" w:rsidRPr="00C01623" w:rsidRDefault="009A3D36" w:rsidP="00C01623">
      <w:pPr>
        <w:pStyle w:val="Standard"/>
        <w:rPr>
          <w:rFonts w:ascii="Century Gothic" w:hAnsi="Century Gothic" w:cstheme="minorHAnsi"/>
          <w:sz w:val="20"/>
          <w:szCs w:val="20"/>
        </w:rPr>
      </w:pPr>
      <w:r w:rsidRPr="00C01623">
        <w:rPr>
          <w:rFonts w:ascii="Century Gothic" w:hAnsi="Century Gothic"/>
          <w:sz w:val="20"/>
          <w:szCs w:val="20"/>
        </w:rPr>
        <w:t xml:space="preserve">La présente consultation concerne la </w:t>
      </w:r>
      <w:r w:rsidR="005149B5" w:rsidRPr="00C01623">
        <w:rPr>
          <w:rFonts w:ascii="Century Gothic" w:hAnsi="Century Gothic"/>
          <w:sz w:val="20"/>
          <w:szCs w:val="20"/>
        </w:rPr>
        <w:t xml:space="preserve">réalisation d’une </w:t>
      </w:r>
      <w:r w:rsidR="008F714C" w:rsidRPr="008F714C">
        <w:rPr>
          <w:rFonts w:ascii="Century Gothic" w:hAnsi="Century Gothic"/>
          <w:sz w:val="20"/>
          <w:szCs w:val="20"/>
        </w:rPr>
        <w:t xml:space="preserve">prestation </w:t>
      </w:r>
      <w:r w:rsidR="005149B5" w:rsidRPr="008F714C">
        <w:rPr>
          <w:rFonts w:ascii="Century Gothic" w:hAnsi="Century Gothic"/>
          <w:sz w:val="20"/>
          <w:szCs w:val="20"/>
        </w:rPr>
        <w:t>exhaustive</w:t>
      </w:r>
      <w:r w:rsidR="005149B5" w:rsidRPr="00C01623">
        <w:rPr>
          <w:rFonts w:ascii="Century Gothic" w:hAnsi="Century Gothic"/>
          <w:sz w:val="20"/>
          <w:szCs w:val="20"/>
        </w:rPr>
        <w:t xml:space="preserve"> ayant pour objet  </w:t>
      </w:r>
      <w:r w:rsidR="00C01623" w:rsidRPr="00C01623">
        <w:rPr>
          <w:rFonts w:ascii="Century Gothic" w:hAnsi="Century Gothic"/>
          <w:sz w:val="20"/>
          <w:szCs w:val="20"/>
        </w:rPr>
        <w:t>« </w:t>
      </w:r>
      <w:r w:rsidR="00C01623" w:rsidRPr="00C01623">
        <w:rPr>
          <w:rFonts w:ascii="Century Gothic" w:hAnsi="Century Gothic" w:cstheme="minorHAnsi"/>
          <w:sz w:val="20"/>
          <w:szCs w:val="20"/>
        </w:rPr>
        <w:t> »</w:t>
      </w:r>
    </w:p>
    <w:p w:rsidR="008F714C" w:rsidRDefault="008F714C" w:rsidP="008F714C">
      <w:pPr>
        <w:pStyle w:val="Default"/>
      </w:pPr>
    </w:p>
    <w:p w:rsidR="005149B5" w:rsidRDefault="008F714C" w:rsidP="008F714C">
      <w:pPr>
        <w:rPr>
          <w:rStyle w:val="A1"/>
        </w:rPr>
      </w:pPr>
      <w:r>
        <w:t xml:space="preserve"> </w:t>
      </w:r>
      <w:r>
        <w:rPr>
          <w:rStyle w:val="A1"/>
        </w:rPr>
        <w:t>Prestations de diagnostic et de préconisations architecturales, thermiques et touristiques des projet</w:t>
      </w:r>
      <w:r>
        <w:rPr>
          <w:rStyle w:val="A1"/>
        </w:rPr>
        <w:t>s accompagnés par le dispositif</w:t>
      </w:r>
      <w:r>
        <w:rPr>
          <w:rStyle w:val="A1"/>
        </w:rPr>
        <w:t xml:space="preserve"> </w:t>
      </w:r>
      <w:proofErr w:type="spellStart"/>
      <w:r>
        <w:rPr>
          <w:rStyle w:val="A1"/>
        </w:rPr>
        <w:t>PyLoT</w:t>
      </w:r>
      <w:proofErr w:type="spellEnd"/>
      <w:r>
        <w:rPr>
          <w:rStyle w:val="A1"/>
        </w:rPr>
        <w:t xml:space="preserve"> pour l’amélioration et le développement de l’offre de l’immobilier de loisirs dans les Pyrénées catalanes</w:t>
      </w:r>
    </w:p>
    <w:p w:rsidR="008F714C" w:rsidRPr="00C01623" w:rsidRDefault="008F714C" w:rsidP="008F714C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Etendue de la consultation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Marché de prestation sous forme de marché à procédure adaptée, conforme aux règles du code des marchés publics.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Décomposition en lots- tranches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8F714C" w:rsidP="009A3D3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prestation est décomposée en lots et </w:t>
      </w:r>
      <w:r w:rsidR="009A3D36" w:rsidRPr="00C01623">
        <w:rPr>
          <w:rFonts w:ascii="Century Gothic" w:hAnsi="Century Gothic"/>
        </w:rPr>
        <w:t xml:space="preserve">tranches.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u w:val="single"/>
        </w:rPr>
        <w:t>Type de contractants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En application des dispositions de l’article 51 du code des marchés publics, les opérateurs économiques sont autorisés à se porter candidats sous forme de groupement d’entreprises</w:t>
      </w:r>
      <w:r w:rsidR="00E0218D" w:rsidRPr="00C01623">
        <w:rPr>
          <w:rFonts w:ascii="Century Gothic" w:hAnsi="Century Gothic"/>
        </w:rPr>
        <w:t xml:space="preserve">, groupement solidaire ou de groupement conjoint, sous réserve du respect des règles relatives à la concurrence. </w:t>
      </w:r>
    </w:p>
    <w:p w:rsidR="00E0218D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Dans le cas de groupements, l’un des membres du groupement, désigné dans l’acte d’engagement comme mandataire, représente l’ensemble des membres vis-à-vis du pouvoir adjudicateur et coordonne les travaux des membres du groupement. </w:t>
      </w:r>
    </w:p>
    <w:p w:rsidR="00E0218D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Un même opérateur économique ne peut être mandataire de plus d’un groupement pour un même marché.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Mode de règlement du marché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 mode de règlement choisi par l’acheteu</w:t>
      </w:r>
      <w:r w:rsidR="00E0218D" w:rsidRPr="00C01623">
        <w:rPr>
          <w:rFonts w:ascii="Century Gothic" w:hAnsi="Century Gothic"/>
        </w:rPr>
        <w:t xml:space="preserve">r est le virement administratif, et conforme aux règles de la comptabilité publique.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Durée du marché</w:t>
      </w:r>
      <w:r w:rsidR="009A3D36" w:rsidRPr="00C01623">
        <w:rPr>
          <w:rFonts w:ascii="Century Gothic" w:hAnsi="Century Gothic"/>
        </w:rPr>
        <w:t xml:space="preserve"> : </w:t>
      </w:r>
    </w:p>
    <w:p w:rsidR="009A3D36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Le marché </w:t>
      </w:r>
      <w:r w:rsidR="008F714C">
        <w:rPr>
          <w:rFonts w:ascii="Century Gothic" w:hAnsi="Century Gothic"/>
        </w:rPr>
        <w:t xml:space="preserve">tranche ferme </w:t>
      </w:r>
      <w:r w:rsidRPr="00C01623">
        <w:rPr>
          <w:rFonts w:ascii="Century Gothic" w:hAnsi="Century Gothic"/>
        </w:rPr>
        <w:t xml:space="preserve">est souscrit pour une durée ferme de </w:t>
      </w:r>
      <w:r w:rsidR="00C01623" w:rsidRPr="00C01623">
        <w:rPr>
          <w:rFonts w:ascii="Century Gothic" w:hAnsi="Century Gothic"/>
        </w:rPr>
        <w:t>12</w:t>
      </w:r>
      <w:r w:rsidR="005149B5" w:rsidRPr="00C01623">
        <w:rPr>
          <w:rFonts w:ascii="Century Gothic" w:hAnsi="Century Gothic"/>
        </w:rPr>
        <w:t xml:space="preserve"> mois à compter de la signature du marché</w:t>
      </w:r>
      <w:r w:rsidRPr="00C01623">
        <w:rPr>
          <w:rFonts w:ascii="Century Gothic" w:hAnsi="Century Gothic"/>
        </w:rPr>
        <w:t xml:space="preserve">. </w:t>
      </w:r>
      <w:r w:rsidR="008F714C">
        <w:rPr>
          <w:rFonts w:ascii="Century Gothic" w:hAnsi="Century Gothic"/>
        </w:rPr>
        <w:t>Les tranches conditionnelles sont soumises à l’accord de l’autorité territoriale après finalisation et résultats de la tranche ferme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Délai de validité des offres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 délai de validité des offres est fixé à compter de la date d’acceptation de l’offre</w:t>
      </w:r>
      <w:r w:rsidR="00E0218D" w:rsidRPr="00C01623">
        <w:rPr>
          <w:rFonts w:ascii="Century Gothic" w:hAnsi="Century Gothic"/>
        </w:rPr>
        <w:t xml:space="preserve"> à 3 mois</w:t>
      </w:r>
      <w:r w:rsidR="00AC055F" w:rsidRPr="00C01623">
        <w:rPr>
          <w:rFonts w:ascii="Century Gothic" w:hAnsi="Century Gothic"/>
        </w:rPr>
        <w:t xml:space="preserve"> à compter de la date limite de réception des plis</w:t>
      </w:r>
      <w:r w:rsidRPr="00C01623">
        <w:rPr>
          <w:rFonts w:ascii="Century Gothic" w:hAnsi="Century Gothic"/>
        </w:rPr>
        <w:t xml:space="preserve">. 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Nature et c</w:t>
      </w:r>
      <w:r w:rsidR="009A3D36" w:rsidRPr="00C01623">
        <w:rPr>
          <w:rFonts w:ascii="Century Gothic" w:hAnsi="Century Gothic"/>
          <w:b/>
          <w:bCs/>
          <w:u w:val="single"/>
        </w:rPr>
        <w:t>ontenu des offres</w:t>
      </w:r>
      <w:r w:rsidR="009A3D36" w:rsidRPr="00C01623">
        <w:rPr>
          <w:rFonts w:ascii="Century Gothic" w:hAnsi="Century Gothic"/>
        </w:rPr>
        <w:t xml:space="preserve"> : </w:t>
      </w:r>
    </w:p>
    <w:p w:rsidR="00E0218D" w:rsidRPr="00C01623" w:rsidRDefault="00E0218D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 dossier de consultation comporte une s</w:t>
      </w:r>
      <w:r w:rsidR="00AC055F" w:rsidRPr="00C01623">
        <w:rPr>
          <w:rFonts w:ascii="Century Gothic" w:hAnsi="Century Gothic"/>
        </w:rPr>
        <w:t xml:space="preserve">olution </w:t>
      </w:r>
      <w:r w:rsidR="005149B5" w:rsidRPr="00C01623">
        <w:rPr>
          <w:rFonts w:ascii="Century Gothic" w:hAnsi="Century Gothic"/>
        </w:rPr>
        <w:t>détaillée de la prestation demandée.</w:t>
      </w:r>
      <w:r w:rsidRPr="00C01623">
        <w:rPr>
          <w:rFonts w:ascii="Century Gothic" w:hAnsi="Century Gothic"/>
        </w:rPr>
        <w:t xml:space="preserve">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>Les candidats auront à produire un dossier complet comprenant l’</w:t>
      </w:r>
      <w:r w:rsidR="00AC055F" w:rsidRPr="00C01623">
        <w:rPr>
          <w:rFonts w:ascii="Century Gothic" w:hAnsi="Century Gothic"/>
        </w:rPr>
        <w:t>acte d’</w:t>
      </w:r>
      <w:r w:rsidRPr="00C01623">
        <w:rPr>
          <w:rFonts w:ascii="Century Gothic" w:hAnsi="Century Gothic"/>
        </w:rPr>
        <w:t>engagement signé par une personne habilitée par la société, les documents et renseignements prescrits à l’article</w:t>
      </w:r>
      <w:r w:rsidR="008B13E1" w:rsidRPr="00C01623">
        <w:rPr>
          <w:rFonts w:ascii="Century Gothic" w:hAnsi="Century Gothic"/>
        </w:rPr>
        <w:t xml:space="preserve"> 45 du code des marchés publics</w:t>
      </w:r>
      <w:r w:rsidRPr="00C01623">
        <w:rPr>
          <w:rFonts w:ascii="Century Gothic" w:hAnsi="Century Gothic"/>
        </w:rPr>
        <w:t>,</w:t>
      </w:r>
      <w:r w:rsidR="008B13E1" w:rsidRPr="00C01623">
        <w:rPr>
          <w:rFonts w:ascii="Century Gothic" w:hAnsi="Century Gothic"/>
        </w:rPr>
        <w:t xml:space="preserve"> </w:t>
      </w:r>
      <w:r w:rsidR="00AC055F" w:rsidRPr="00C01623">
        <w:rPr>
          <w:rFonts w:ascii="Century Gothic" w:hAnsi="Century Gothic"/>
        </w:rPr>
        <w:t>le règlement de la consultation ainsi que l</w:t>
      </w:r>
      <w:r w:rsidRPr="00C01623">
        <w:rPr>
          <w:rFonts w:ascii="Century Gothic" w:hAnsi="Century Gothic"/>
        </w:rPr>
        <w:t>e c</w:t>
      </w:r>
      <w:r w:rsidR="00AC055F" w:rsidRPr="00C01623">
        <w:rPr>
          <w:rFonts w:ascii="Century Gothic" w:hAnsi="Century Gothic"/>
        </w:rPr>
        <w:t xml:space="preserve">ahier des clauses </w:t>
      </w:r>
      <w:r w:rsidR="005149B5" w:rsidRPr="00C01623">
        <w:rPr>
          <w:rFonts w:ascii="Century Gothic" w:hAnsi="Century Gothic"/>
        </w:rPr>
        <w:t xml:space="preserve">techniques </w:t>
      </w:r>
      <w:r w:rsidR="00AC055F" w:rsidRPr="00C01623">
        <w:rPr>
          <w:rFonts w:ascii="Century Gothic" w:hAnsi="Century Gothic"/>
        </w:rPr>
        <w:t>particulières</w:t>
      </w:r>
      <w:r w:rsidRPr="00C01623">
        <w:rPr>
          <w:rFonts w:ascii="Century Gothic" w:hAnsi="Century Gothic"/>
        </w:rPr>
        <w:t xml:space="preserve">. </w:t>
      </w:r>
      <w:r w:rsidR="006E2965">
        <w:rPr>
          <w:rFonts w:ascii="Century Gothic" w:hAnsi="Century Gothic"/>
        </w:rPr>
        <w:t>L’offre détaillera sous forme de tableau détaillé le quantitatif de la prestation.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Jugement des offres</w:t>
      </w:r>
      <w:r w:rsidRPr="00C01623">
        <w:rPr>
          <w:rFonts w:ascii="Century Gothic" w:hAnsi="Century Gothic"/>
        </w:rPr>
        <w:t xml:space="preserve"> : </w:t>
      </w: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</w:rPr>
        <w:t xml:space="preserve">Ce jugement sera effectué dans les conditions prévues par le Code des Marchés Publics. </w:t>
      </w:r>
    </w:p>
    <w:p w:rsidR="008F714C" w:rsidRDefault="009A3D36" w:rsidP="008F714C">
      <w:pPr>
        <w:pStyle w:val="Pa1"/>
        <w:rPr>
          <w:rFonts w:ascii="Century Gothic" w:hAnsi="Century Gothic"/>
          <w:sz w:val="20"/>
          <w:szCs w:val="20"/>
        </w:rPr>
      </w:pPr>
      <w:r w:rsidRPr="00C01623">
        <w:rPr>
          <w:rFonts w:ascii="Century Gothic" w:hAnsi="Century Gothic"/>
          <w:sz w:val="20"/>
          <w:szCs w:val="20"/>
        </w:rPr>
        <w:t>Les critères seront examinés selon</w:t>
      </w:r>
      <w:r w:rsidR="008B13E1" w:rsidRPr="00C01623">
        <w:rPr>
          <w:rFonts w:ascii="Century Gothic" w:hAnsi="Century Gothic"/>
          <w:sz w:val="20"/>
          <w:szCs w:val="20"/>
        </w:rPr>
        <w:t xml:space="preserve"> : </w:t>
      </w:r>
    </w:p>
    <w:p w:rsidR="008F714C" w:rsidRDefault="008F714C" w:rsidP="008F714C">
      <w:pPr>
        <w:pStyle w:val="Pa1"/>
        <w:rPr>
          <w:rFonts w:cs="Fira Sans"/>
          <w:color w:val="00000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>
        <w:rPr>
          <w:rStyle w:val="A3"/>
        </w:rPr>
        <w:t xml:space="preserve">Le prix : 40% </w:t>
      </w:r>
    </w:p>
    <w:p w:rsidR="008F714C" w:rsidRDefault="008F714C" w:rsidP="008F714C">
      <w:pPr>
        <w:pStyle w:val="Pa1"/>
        <w:rPr>
          <w:rFonts w:cs="Fira Sans"/>
          <w:color w:val="000000"/>
          <w:sz w:val="22"/>
          <w:szCs w:val="22"/>
        </w:rPr>
      </w:pPr>
      <w:r>
        <w:rPr>
          <w:rStyle w:val="A3"/>
          <w:sz w:val="22"/>
          <w:szCs w:val="22"/>
        </w:rPr>
        <w:t xml:space="preserve">- L’offre technique : 30% </w:t>
      </w:r>
    </w:p>
    <w:p w:rsidR="005149B5" w:rsidRDefault="008F714C" w:rsidP="008F714C">
      <w:pPr>
        <w:pStyle w:val="Sansinterligne"/>
        <w:jc w:val="both"/>
        <w:rPr>
          <w:rFonts w:ascii="Century Gothic" w:hAnsi="Century Gothic"/>
          <w:sz w:val="20"/>
          <w:szCs w:val="20"/>
        </w:rPr>
      </w:pPr>
      <w:r>
        <w:rPr>
          <w:rStyle w:val="A3"/>
        </w:rPr>
        <w:t>- les compétences de l’équipe: 30%</w:t>
      </w:r>
    </w:p>
    <w:p w:rsidR="00C01623" w:rsidRPr="00C01623" w:rsidRDefault="008F714C" w:rsidP="008F714C">
      <w:pPr>
        <w:pStyle w:val="Standard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Les technicités et compétences seront analysés</w:t>
      </w:r>
      <w:r w:rsidR="00C01623" w:rsidRPr="00C01623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>au regard des</w:t>
      </w:r>
      <w:r w:rsidR="00C01623" w:rsidRPr="00C01623">
        <w:rPr>
          <w:rFonts w:ascii="Century Gothic" w:hAnsi="Century Gothic" w:cstheme="minorHAnsi"/>
          <w:sz w:val="20"/>
          <w:szCs w:val="20"/>
        </w:rPr>
        <w:t xml:space="preserve">: </w:t>
      </w:r>
    </w:p>
    <w:p w:rsidR="00C01623" w:rsidRPr="00C01623" w:rsidRDefault="008F714C" w:rsidP="00C01623">
      <w:pPr>
        <w:pStyle w:val="Standard"/>
        <w:ind w:left="126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● </w:t>
      </w:r>
      <w:r w:rsidR="00C01623" w:rsidRPr="00C01623">
        <w:rPr>
          <w:rFonts w:ascii="Century Gothic" w:hAnsi="Century Gothic" w:cstheme="minorHAnsi"/>
          <w:sz w:val="20"/>
          <w:szCs w:val="20"/>
        </w:rPr>
        <w:t xml:space="preserve"> éléments fournis dans la note technique notamment la compréhension du contexte</w:t>
      </w:r>
      <w:r>
        <w:rPr>
          <w:rFonts w:ascii="Century Gothic" w:hAnsi="Century Gothic" w:cstheme="minorHAnsi"/>
          <w:sz w:val="20"/>
          <w:szCs w:val="20"/>
        </w:rPr>
        <w:t>-des enjeux</w:t>
      </w:r>
      <w:r w:rsidR="00C01623" w:rsidRPr="00C01623">
        <w:rPr>
          <w:rFonts w:ascii="Century Gothic" w:hAnsi="Century Gothic" w:cstheme="minorHAnsi"/>
          <w:sz w:val="20"/>
          <w:szCs w:val="20"/>
        </w:rPr>
        <w:t xml:space="preserve"> de </w:t>
      </w:r>
      <w:r>
        <w:rPr>
          <w:rFonts w:ascii="Century Gothic" w:hAnsi="Century Gothic" w:cstheme="minorHAnsi"/>
          <w:sz w:val="20"/>
          <w:szCs w:val="20"/>
        </w:rPr>
        <w:t>la prestation et la méthodologie</w:t>
      </w:r>
    </w:p>
    <w:p w:rsidR="00C01623" w:rsidRPr="00C01623" w:rsidRDefault="008F714C" w:rsidP="00C01623">
      <w:pPr>
        <w:pStyle w:val="Standard"/>
        <w:ind w:left="126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lastRenderedPageBreak/>
        <w:t xml:space="preserve">       ●</w:t>
      </w:r>
      <w:r w:rsidR="00C01623" w:rsidRPr="00C01623">
        <w:rPr>
          <w:rFonts w:ascii="Century Gothic" w:hAnsi="Century Gothic" w:cstheme="minorHAnsi"/>
          <w:sz w:val="20"/>
          <w:szCs w:val="20"/>
        </w:rPr>
        <w:t xml:space="preserve"> références du candidat, incluant l’antériorité (exp</w:t>
      </w:r>
      <w:r>
        <w:rPr>
          <w:rFonts w:ascii="Century Gothic" w:hAnsi="Century Gothic" w:cstheme="minorHAnsi"/>
          <w:sz w:val="20"/>
          <w:szCs w:val="20"/>
        </w:rPr>
        <w:t>érience dans ce domaine</w:t>
      </w:r>
      <w:r w:rsidR="00C01623" w:rsidRPr="00C01623">
        <w:rPr>
          <w:rFonts w:ascii="Century Gothic" w:hAnsi="Century Gothic" w:cstheme="minorHAnsi"/>
          <w:sz w:val="20"/>
          <w:szCs w:val="20"/>
        </w:rPr>
        <w:t>), l</w:t>
      </w:r>
      <w:r>
        <w:rPr>
          <w:rFonts w:ascii="Century Gothic" w:hAnsi="Century Gothic" w:cstheme="minorHAnsi"/>
          <w:sz w:val="20"/>
          <w:szCs w:val="20"/>
        </w:rPr>
        <w:t>a pratique d’observation et d’analyse,</w:t>
      </w:r>
      <w:r w:rsidR="00C01623" w:rsidRPr="00C01623">
        <w:rPr>
          <w:rFonts w:ascii="Century Gothic" w:hAnsi="Century Gothic" w:cstheme="minorHAnsi"/>
          <w:sz w:val="20"/>
          <w:szCs w:val="20"/>
        </w:rPr>
        <w:t xml:space="preserve"> la connaissance d</w:t>
      </w:r>
      <w:r w:rsidR="001A431B">
        <w:rPr>
          <w:rFonts w:ascii="Century Gothic" w:hAnsi="Century Gothic" w:cstheme="minorHAnsi"/>
          <w:sz w:val="20"/>
          <w:szCs w:val="20"/>
        </w:rPr>
        <w:t>u territ</w:t>
      </w:r>
      <w:r>
        <w:rPr>
          <w:rFonts w:ascii="Century Gothic" w:hAnsi="Century Gothic" w:cstheme="minorHAnsi"/>
          <w:sz w:val="20"/>
          <w:szCs w:val="20"/>
        </w:rPr>
        <w:t>oire et l</w:t>
      </w:r>
      <w:bookmarkStart w:id="0" w:name="_GoBack"/>
      <w:bookmarkEnd w:id="0"/>
      <w:r>
        <w:rPr>
          <w:rFonts w:ascii="Century Gothic" w:hAnsi="Century Gothic" w:cstheme="minorHAnsi"/>
          <w:sz w:val="20"/>
          <w:szCs w:val="20"/>
        </w:rPr>
        <w:t>a force de proposition pour atteindre les objectifs attendus</w:t>
      </w:r>
    </w:p>
    <w:p w:rsidR="00C01623" w:rsidRPr="00C01623" w:rsidRDefault="00C01623" w:rsidP="00C01623">
      <w:pPr>
        <w:pStyle w:val="Sansinterligne"/>
        <w:rPr>
          <w:rFonts w:ascii="Century Gothic" w:hAnsi="Century Gothic" w:cstheme="minorHAnsi"/>
          <w:sz w:val="20"/>
          <w:szCs w:val="20"/>
        </w:rPr>
      </w:pPr>
    </w:p>
    <w:p w:rsidR="009A3D36" w:rsidRPr="00C01623" w:rsidRDefault="009A3D36" w:rsidP="009A3D36">
      <w:pPr>
        <w:rPr>
          <w:rFonts w:ascii="Century Gothic" w:hAnsi="Century Gothic"/>
        </w:rPr>
      </w:pPr>
      <w:r w:rsidRPr="00C01623">
        <w:rPr>
          <w:rFonts w:ascii="Century Gothic" w:hAnsi="Century Gothic"/>
          <w:b/>
          <w:bCs/>
          <w:u w:val="single"/>
        </w:rPr>
        <w:t>Date limite de réception des offres</w:t>
      </w:r>
      <w:r w:rsidR="008F714C">
        <w:rPr>
          <w:rFonts w:ascii="Century Gothic" w:hAnsi="Century Gothic"/>
        </w:rPr>
        <w:t> : 15/6/2020</w:t>
      </w:r>
    </w:p>
    <w:p w:rsidR="009A3D36" w:rsidRPr="00C01623" w:rsidRDefault="009A3D36" w:rsidP="009A3D36">
      <w:pPr>
        <w:rPr>
          <w:rFonts w:ascii="Century Gothic" w:hAnsi="Century Gothic"/>
        </w:rPr>
      </w:pPr>
    </w:p>
    <w:p w:rsidR="008B13E1" w:rsidRDefault="009A3D36" w:rsidP="009A3D36">
      <w:pPr>
        <w:rPr>
          <w:rFonts w:ascii="Century Gothic" w:hAnsi="Century Gothic"/>
          <w:b/>
          <w:bCs/>
          <w:u w:val="single"/>
        </w:rPr>
      </w:pPr>
      <w:r w:rsidRPr="00C01623">
        <w:rPr>
          <w:rFonts w:ascii="Century Gothic" w:hAnsi="Century Gothic"/>
          <w:b/>
          <w:bCs/>
          <w:u w:val="single"/>
        </w:rPr>
        <w:t>Lieu où l’on peut obtenir des renseignements</w:t>
      </w:r>
      <w:r w:rsidR="00AC055F" w:rsidRPr="00C01623">
        <w:rPr>
          <w:rFonts w:ascii="Century Gothic" w:hAnsi="Century Gothic"/>
        </w:rPr>
        <w:t xml:space="preserve">, </w:t>
      </w:r>
      <w:r w:rsidR="00AC055F" w:rsidRPr="00C01623">
        <w:rPr>
          <w:rFonts w:ascii="Century Gothic" w:hAnsi="Century Gothic"/>
          <w:b/>
          <w:u w:val="single"/>
        </w:rPr>
        <w:t>le dossier de consultation des entreprises</w:t>
      </w:r>
      <w:r w:rsidR="00C01623" w:rsidRPr="00C01623">
        <w:rPr>
          <w:rFonts w:ascii="Century Gothic" w:hAnsi="Century Gothic"/>
          <w:b/>
          <w:u w:val="single"/>
        </w:rPr>
        <w:t>/</w:t>
      </w:r>
      <w:r w:rsidR="008B13E1" w:rsidRPr="00C01623">
        <w:rPr>
          <w:rFonts w:ascii="Century Gothic" w:hAnsi="Century Gothic"/>
          <w:b/>
          <w:bCs/>
          <w:u w:val="single"/>
        </w:rPr>
        <w:t xml:space="preserve">Modalités de transmission des plis : </w:t>
      </w:r>
      <w:r w:rsidR="008F714C">
        <w:rPr>
          <w:rFonts w:ascii="Century Gothic" w:hAnsi="Century Gothic"/>
          <w:b/>
          <w:bCs/>
          <w:u w:val="single"/>
        </w:rPr>
        <w:t>PNR Pyrénées Catalanes</w:t>
      </w:r>
    </w:p>
    <w:p w:rsidR="008F714C" w:rsidRDefault="008F714C" w:rsidP="009A3D36">
      <w:pPr>
        <w:rPr>
          <w:rFonts w:ascii="Century Gothic" w:hAnsi="Century Gothic"/>
          <w:b/>
          <w:bCs/>
          <w:u w:val="single"/>
        </w:rPr>
      </w:pPr>
    </w:p>
    <w:p w:rsidR="008F714C" w:rsidRPr="00C01623" w:rsidRDefault="008F714C" w:rsidP="009A3D36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Analyse des offres : par un jury collégial avec les instances du PNR et </w:t>
      </w:r>
      <w:proofErr w:type="gramStart"/>
      <w:r>
        <w:rPr>
          <w:rFonts w:ascii="Century Gothic" w:hAnsi="Century Gothic"/>
          <w:b/>
          <w:bCs/>
          <w:u w:val="single"/>
        </w:rPr>
        <w:t>des communauté</w:t>
      </w:r>
      <w:proofErr w:type="gramEnd"/>
      <w:r>
        <w:rPr>
          <w:rFonts w:ascii="Century Gothic" w:hAnsi="Century Gothic"/>
          <w:b/>
          <w:bCs/>
          <w:u w:val="single"/>
        </w:rPr>
        <w:t xml:space="preserve"> de communes partenaires</w:t>
      </w:r>
    </w:p>
    <w:p w:rsidR="008B13E1" w:rsidRPr="00C01623" w:rsidRDefault="008B13E1" w:rsidP="00C01623">
      <w:pPr>
        <w:pStyle w:val="Paragraphedeliste"/>
        <w:ind w:left="3255"/>
        <w:rPr>
          <w:rFonts w:ascii="Century Gothic" w:hAnsi="Century Gothic" w:cstheme="minorHAnsi"/>
          <w:b/>
          <w:bCs/>
          <w:u w:val="single"/>
        </w:rPr>
      </w:pPr>
    </w:p>
    <w:p w:rsidR="00EC429C" w:rsidRDefault="00EC429C"/>
    <w:sectPr w:rsidR="00EC429C" w:rsidSect="00950D23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706AC"/>
    <w:multiLevelType w:val="hybridMultilevel"/>
    <w:tmpl w:val="2BFE263C"/>
    <w:lvl w:ilvl="0" w:tplc="CDB63D46">
      <w:numFmt w:val="bullet"/>
      <w:lvlText w:val="-"/>
      <w:lvlJc w:val="left"/>
      <w:pPr>
        <w:ind w:left="32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36"/>
    <w:rsid w:val="000E1EDE"/>
    <w:rsid w:val="001A431B"/>
    <w:rsid w:val="004A7ECA"/>
    <w:rsid w:val="005149B5"/>
    <w:rsid w:val="00676DCE"/>
    <w:rsid w:val="006E2965"/>
    <w:rsid w:val="008B13E1"/>
    <w:rsid w:val="008F714C"/>
    <w:rsid w:val="00950D23"/>
    <w:rsid w:val="009A3D36"/>
    <w:rsid w:val="00AC055F"/>
    <w:rsid w:val="00B466DA"/>
    <w:rsid w:val="00C01623"/>
    <w:rsid w:val="00CA17D9"/>
    <w:rsid w:val="00D769E0"/>
    <w:rsid w:val="00E0218D"/>
    <w:rsid w:val="00E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4044-62A0-4ED7-83BE-DD15637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Standard"/>
    <w:next w:val="Standard"/>
    <w:link w:val="Titre2Car"/>
    <w:uiPriority w:val="9"/>
    <w:unhideWhenUsed/>
    <w:qFormat/>
    <w:rsid w:val="00C01623"/>
    <w:pPr>
      <w:keepNext/>
      <w:outlineLvl w:val="1"/>
    </w:pPr>
    <w:rPr>
      <w:rFonts w:ascii="Times New Roman" w:hAnsi="Times New Roman" w:cs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055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B13E1"/>
    <w:pPr>
      <w:ind w:left="720"/>
      <w:contextualSpacing/>
    </w:pPr>
  </w:style>
  <w:style w:type="paragraph" w:styleId="Sansinterligne">
    <w:name w:val="No Spacing"/>
    <w:uiPriority w:val="1"/>
    <w:qFormat/>
    <w:rsid w:val="005149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C01623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C01623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4"/>
      <w:lang w:eastAsia="zh-CN"/>
    </w:rPr>
  </w:style>
  <w:style w:type="paragraph" w:customStyle="1" w:styleId="Default">
    <w:name w:val="Default"/>
    <w:rsid w:val="008F714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A1">
    <w:name w:val="A1"/>
    <w:uiPriority w:val="99"/>
    <w:rsid w:val="008F714C"/>
    <w:rPr>
      <w:rFonts w:cs="Fira Sans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8F714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F714C"/>
    <w:rPr>
      <w:rFonts w:cs="Fira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1653-16D3-42D5-AA49-44C52D6F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3</dc:creator>
  <cp:keywords/>
  <dc:description/>
  <cp:lastModifiedBy>RAF_02</cp:lastModifiedBy>
  <cp:revision>2</cp:revision>
  <dcterms:created xsi:type="dcterms:W3CDTF">2020-05-19T10:34:00Z</dcterms:created>
  <dcterms:modified xsi:type="dcterms:W3CDTF">2020-05-19T10:34:00Z</dcterms:modified>
</cp:coreProperties>
</file>